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附件4</w:t>
      </w:r>
    </w:p>
    <w:p>
      <w:pPr>
        <w:spacing w:line="360" w:lineRule="auto"/>
        <w:ind w:firstLine="643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《20</w:t>
      </w:r>
      <w:r>
        <w:rPr>
          <w:rFonts w:ascii="黑体" w:hAnsi="黑体" w:eastAsia="黑体"/>
          <w:b/>
          <w:sz w:val="32"/>
          <w:szCs w:val="28"/>
        </w:rPr>
        <w:t>20</w:t>
      </w:r>
      <w:r>
        <w:rPr>
          <w:rFonts w:hint="eastAsia" w:ascii="黑体" w:hAnsi="黑体" w:eastAsia="黑体"/>
          <w:b/>
          <w:sz w:val="32"/>
          <w:szCs w:val="28"/>
        </w:rPr>
        <w:t>年度天津市银行业社会责任报告》</w:t>
      </w:r>
    </w:p>
    <w:p>
      <w:pPr>
        <w:spacing w:line="360" w:lineRule="auto"/>
        <w:ind w:firstLine="643"/>
        <w:jc w:val="center"/>
        <w:rPr>
          <w:rFonts w:ascii="黑体" w:hAnsi="黑体" w:eastAsia="黑体"/>
          <w:b/>
          <w:sz w:val="32"/>
          <w:szCs w:val="28"/>
        </w:rPr>
      </w:pPr>
      <w:r>
        <w:rPr>
          <w:rFonts w:hint="eastAsia" w:ascii="黑体" w:hAnsi="黑体" w:eastAsia="黑体"/>
          <w:b/>
          <w:sz w:val="32"/>
          <w:szCs w:val="28"/>
        </w:rPr>
        <w:t>定性材料报送模板</w:t>
      </w:r>
    </w:p>
    <w:tbl>
      <w:tblPr>
        <w:tblStyle w:val="6"/>
        <w:tblW w:w="0" w:type="auto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dotted" w:color="auto" w:sz="4" w:space="0"/>
          <w:insideV w:val="dotted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auto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定性材料填报说明：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1．文字材料请直接粘贴在此word文件中相应指标的方框内；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2．请单独提供</w:t>
            </w:r>
            <w:r>
              <w:rPr>
                <w:rFonts w:hint="eastAsia" w:ascii="宋体" w:hAnsi="宋体"/>
                <w:b/>
                <w:color w:val="FF0000"/>
                <w:szCs w:val="28"/>
              </w:rPr>
              <w:t>1MB以上</w:t>
            </w:r>
            <w:r>
              <w:rPr>
                <w:rFonts w:hint="eastAsia" w:ascii="宋体" w:hAnsi="宋体"/>
                <w:szCs w:val="28"/>
              </w:rPr>
              <w:t>高清晰、美观的图片文件，请勿粘贴在此word文件内；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3．文字材料中的数据必须截至20</w:t>
            </w:r>
            <w:r>
              <w:rPr>
                <w:rFonts w:ascii="宋体" w:hAnsi="宋体"/>
                <w:szCs w:val="28"/>
              </w:rPr>
              <w:t>20</w:t>
            </w:r>
            <w:r>
              <w:rPr>
                <w:rFonts w:hint="eastAsia" w:ascii="宋体" w:hAnsi="宋体"/>
                <w:szCs w:val="28"/>
              </w:rPr>
              <w:t>年12月31日；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b/>
                <w:color w:val="FF0000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4．</w:t>
            </w:r>
            <w:r>
              <w:rPr>
                <w:rFonts w:hint="eastAsia" w:ascii="宋体" w:hAnsi="宋体"/>
                <w:b/>
                <w:color w:val="FF0000"/>
                <w:szCs w:val="28"/>
              </w:rPr>
              <w:t>请勿修改文件格式、标题及指标内容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5</w:t>
            </w:r>
            <w:r>
              <w:rPr>
                <w:rFonts w:hint="eastAsia" w:ascii="宋体" w:hAnsi="宋体"/>
                <w:szCs w:val="28"/>
              </w:rPr>
              <w:t>．请酌情提供贵机构认为能够体现社会责任工作的其他重要材料；</w:t>
            </w:r>
          </w:p>
          <w:p>
            <w:pPr>
              <w:spacing w:line="360" w:lineRule="auto"/>
              <w:ind w:firstLine="0" w:firstLineChars="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5．以下指标的Excel格式文件请参见</w:t>
            </w:r>
            <w:r>
              <w:rPr>
                <w:rFonts w:hint="eastAsia" w:ascii="宋体" w:hAnsi="宋体"/>
                <w:b/>
                <w:szCs w:val="28"/>
              </w:rPr>
              <w:t>附件2表2</w:t>
            </w:r>
            <w:r>
              <w:rPr>
                <w:rFonts w:hint="eastAsia" w:ascii="宋体" w:hAnsi="宋体"/>
                <w:szCs w:val="28"/>
              </w:rPr>
              <w:t>。</w:t>
            </w: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填报机构：</w:t>
            </w:r>
          </w:p>
        </w:tc>
        <w:tc>
          <w:tcPr>
            <w:tcW w:w="6854" w:type="dxa"/>
            <w:shd w:val="clear" w:color="auto" w:fill="auto"/>
          </w:tcPr>
          <w:p>
            <w:pPr>
              <w:spacing w:line="360" w:lineRule="auto"/>
              <w:ind w:firstLine="562"/>
              <w:rPr>
                <w:rFonts w:ascii="宋体" w:hAnsi="宋体"/>
                <w:b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填报人：</w:t>
            </w:r>
          </w:p>
        </w:tc>
        <w:tc>
          <w:tcPr>
            <w:tcW w:w="6854" w:type="dxa"/>
            <w:shd w:val="clear" w:color="auto" w:fill="auto"/>
          </w:tcPr>
          <w:p>
            <w:pPr>
              <w:spacing w:line="360" w:lineRule="auto"/>
              <w:ind w:firstLine="562"/>
              <w:rPr>
                <w:rFonts w:ascii="宋体" w:hAnsi="宋体"/>
                <w:b/>
                <w:szCs w:val="28"/>
              </w:rPr>
            </w:pPr>
          </w:p>
        </w:tc>
      </w:tr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dotted" w:color="auto" w:sz="4" w:space="0"/>
            <w:insideV w:val="dott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shd w:val="clear" w:color="auto" w:fill="auto"/>
          </w:tcPr>
          <w:p>
            <w:pPr>
              <w:spacing w:line="360" w:lineRule="auto"/>
              <w:ind w:firstLine="0" w:firstLineChars="0"/>
              <w:rPr>
                <w:rFonts w:ascii="宋体" w:hAnsi="宋体"/>
                <w:b/>
                <w:szCs w:val="28"/>
              </w:rPr>
            </w:pPr>
            <w:r>
              <w:rPr>
                <w:rFonts w:hint="eastAsia" w:ascii="宋体" w:hAnsi="宋体"/>
                <w:b/>
                <w:szCs w:val="28"/>
              </w:rPr>
              <w:t>审核人：</w:t>
            </w:r>
          </w:p>
        </w:tc>
        <w:tc>
          <w:tcPr>
            <w:tcW w:w="6854" w:type="dxa"/>
            <w:shd w:val="clear" w:color="auto" w:fill="auto"/>
          </w:tcPr>
          <w:p>
            <w:pPr>
              <w:spacing w:line="360" w:lineRule="auto"/>
              <w:ind w:firstLine="562"/>
              <w:rPr>
                <w:rFonts w:ascii="宋体" w:hAnsi="宋体"/>
                <w:b/>
                <w:szCs w:val="28"/>
              </w:rPr>
            </w:pPr>
          </w:p>
        </w:tc>
      </w:tr>
    </w:tbl>
    <w:p>
      <w:pPr>
        <w:widowControl/>
        <w:ind w:firstLine="562"/>
        <w:jc w:val="left"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br w:type="page"/>
      </w:r>
    </w:p>
    <w:p>
      <w:pPr>
        <w:pStyle w:val="2"/>
        <w:spacing w:before="156" w:after="156"/>
      </w:pPr>
      <w:r>
        <w:rPr>
          <w:rFonts w:hint="eastAsia"/>
        </w:rPr>
        <w:t>专题：凝聚金融力量，共抗新冠疫情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1</w:t>
      </w:r>
      <w:r>
        <w:rPr>
          <w:rFonts w:hint="eastAsia" w:ascii="宋体" w:hAnsi="宋体"/>
          <w:b/>
          <w:szCs w:val="28"/>
        </w:rPr>
        <w:t>：共筑疫情防护安全网</w:t>
      </w:r>
    </w:p>
    <w:p>
      <w:pPr>
        <w:ind w:firstLine="560"/>
      </w:pPr>
      <w:r>
        <w:rPr>
          <w:rFonts w:hint="eastAsia"/>
        </w:rPr>
        <w:t>在疫情期间确保防疫防护、助力疫情治理的相关情况，包括但不限于：做好办公场所重点环节、重点部位、重点人员的检测和防护，做好自身防控、关心关爱员工与客户；配备防疫设备和用品，对办公及营业场所进行消毒消杀，严控人员密度，防范聚集风险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指标2：确保疫情期间平稳服务</w:t>
      </w:r>
    </w:p>
    <w:p>
      <w:pPr>
        <w:ind w:firstLine="560"/>
      </w:pPr>
      <w:r>
        <w:rPr>
          <w:rFonts w:hint="eastAsia"/>
        </w:rPr>
        <w:t>在确保疫情期间持续为客户提供金融服务开展的主要举措，包括但不限于：做好网点人员防护，在网点推行“无接触”式服务模式；对现金、凭证以及其他物品的消毒处理；引导客户线上办理业务；在网点开展防疫宣传，提升客户防疫安全意识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3</w:t>
      </w:r>
      <w:r>
        <w:rPr>
          <w:rFonts w:hint="eastAsia" w:ascii="宋体" w:hAnsi="宋体"/>
          <w:b/>
          <w:szCs w:val="28"/>
        </w:rPr>
        <w:t>：疫情防控金融支持</w:t>
      </w:r>
    </w:p>
    <w:p>
      <w:pPr>
        <w:ind w:firstLine="560"/>
      </w:pPr>
      <w:r>
        <w:rPr>
          <w:rFonts w:hint="eastAsia"/>
        </w:rPr>
        <w:t>疫情防控期间加大对金融支持的相关情况，如：通过开通绿色通道、扩大贷款利率授权、简化流程等举措，加大对接疫情防控重点保障名单企</w:t>
      </w:r>
      <w:r>
        <w:rPr>
          <w:rFonts w:hint="eastAsia"/>
          <w:lang w:eastAsia="zh-CN"/>
        </w:rPr>
        <w:t>业</w:t>
      </w:r>
      <w:r>
        <w:rPr>
          <w:rFonts w:hint="eastAsia"/>
        </w:rPr>
        <w:t>的金融支持；保障医疗机构和相关企业的资金收付汇划和现金支取业务，确保收付结算畅通。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4</w:t>
      </w:r>
      <w:r>
        <w:rPr>
          <w:rFonts w:hint="eastAsia" w:ascii="宋体" w:hAnsi="宋体"/>
          <w:b/>
          <w:szCs w:val="28"/>
        </w:rPr>
        <w:t>：全面助力复工复产</w:t>
      </w:r>
    </w:p>
    <w:p>
      <w:pPr>
        <w:ind w:firstLine="560"/>
      </w:pPr>
      <w:r>
        <w:rPr>
          <w:rFonts w:hint="eastAsia"/>
        </w:rPr>
        <w:t>结合疫情发展态势，适时分类分时复工复产提供金融支持的相关情况，如：设定专项授信指引和信贷规模，支持服务卫生防疫、交通运输、重要物资生产、基础设施补短板等重点领域企业有序恢复生产；推出应急贷款、复工贷款等主题产品，帮助企业克服复工生产难题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5</w:t>
      </w:r>
      <w:r>
        <w:rPr>
          <w:rFonts w:hint="eastAsia" w:ascii="宋体" w:hAnsi="宋体"/>
          <w:b/>
          <w:szCs w:val="28"/>
        </w:rPr>
        <w:t>：落实“六稳六保”工作任务</w:t>
      </w:r>
    </w:p>
    <w:p>
      <w:pPr>
        <w:ind w:firstLine="560"/>
      </w:pPr>
      <w:r>
        <w:rPr>
          <w:rFonts w:hint="eastAsia"/>
        </w:rPr>
        <w:t>针对“六稳六保”的相关领域加大金融支持的相关情况，可着重介绍针对“六稳六保”制定或遵循的政策或指引；并从细分方面提供典型案例：稳就业、稳金融、稳外贸、稳外资、稳投资、稳预期；保居民就业、保基本民生、保市场主体、保粮食能源安全、保产业链供应链稳定、保基层运转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shd w:val="clear" w:color="auto" w:fill="auto"/>
          </w:tcPr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</w:pPr>
          </w:p>
        </w:tc>
      </w:tr>
    </w:tbl>
    <w:p>
      <w:pPr>
        <w:ind w:firstLine="618" w:firstLineChars="221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6</w:t>
      </w:r>
      <w:r>
        <w:rPr>
          <w:rFonts w:hint="eastAsia" w:ascii="宋体" w:hAnsi="宋体"/>
          <w:b/>
          <w:szCs w:val="28"/>
        </w:rPr>
        <w:t>：开展疫情捐赠救助</w:t>
      </w:r>
    </w:p>
    <w:p>
      <w:pPr>
        <w:ind w:firstLine="560"/>
      </w:pPr>
      <w:r>
        <w:rPr>
          <w:rFonts w:hint="eastAsia"/>
        </w:rPr>
        <w:t>在疫情期间贵单位和员工开展捐款捐物的相关情况，包括但不限于：湖北等重点地区；医疗机构、医务人员；“抗疫”相关公益组织等。可说明捐赠主体（请区分单位捐赠/员工捐赠）、捐赠对象、捐赠规模，物资使用情况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</w:tc>
      </w:tr>
    </w:tbl>
    <w:p>
      <w:pPr>
        <w:ind w:firstLine="618" w:firstLineChars="221"/>
      </w:pPr>
    </w:p>
    <w:p>
      <w:pPr>
        <w:pStyle w:val="2"/>
        <w:spacing w:before="156" w:after="156"/>
      </w:pPr>
      <w:r>
        <w:rPr>
          <w:rFonts w:hint="eastAsia"/>
        </w:rPr>
        <w:t>专题：强化党建引领，激</w:t>
      </w:r>
      <w:r>
        <w:rPr>
          <w:rFonts w:hint="eastAsia"/>
          <w:lang w:eastAsia="zh-CN"/>
        </w:rPr>
        <w:t>活</w:t>
      </w:r>
      <w:r>
        <w:rPr>
          <w:rFonts w:hint="eastAsia"/>
        </w:rPr>
        <w:t>发展动能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7</w:t>
      </w:r>
      <w:r>
        <w:rPr>
          <w:rFonts w:hint="eastAsia" w:ascii="宋体" w:hAnsi="宋体"/>
          <w:b/>
          <w:szCs w:val="28"/>
        </w:rPr>
        <w:t>：深化党建引领</w:t>
      </w:r>
    </w:p>
    <w:p>
      <w:pPr>
        <w:ind w:firstLine="560"/>
      </w:pPr>
      <w:r>
        <w:rPr>
          <w:rFonts w:hint="eastAsia"/>
        </w:rPr>
        <w:t>开展党建工作的管理政策、方法及成效，党建工作体系，以及开展党员学习教育的主要举措、成效、典型活动案例和图片。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shd w:val="clear" w:color="auto" w:fill="auto"/>
          </w:tcPr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</w:tc>
      </w:tr>
    </w:tbl>
    <w:p>
      <w:pPr>
        <w:ind w:firstLine="198" w:firstLineChars="71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8</w:t>
      </w:r>
      <w:r>
        <w:rPr>
          <w:rFonts w:hint="eastAsia" w:ascii="宋体" w:hAnsi="宋体"/>
          <w:b/>
          <w:szCs w:val="28"/>
        </w:rPr>
        <w:t>：加强廉洁建设</w:t>
      </w:r>
    </w:p>
    <w:p>
      <w:pPr>
        <w:ind w:firstLine="560"/>
      </w:pPr>
      <w:r>
        <w:rPr>
          <w:rFonts w:hint="eastAsia"/>
        </w:rPr>
        <w:t>在廉洁、反腐败方面遵循的制度和政策，以及相关的重点举措：如，反腐倡廉制度的确立及执行情况；反腐败问责和监管问责机制；反腐倡廉各项工作措施，如开展相关培训、加强监督等。</w:t>
      </w:r>
      <w:bookmarkStart w:id="0" w:name="_Hlk65509993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96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bookmarkEnd w:id="0"/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9</w:t>
      </w:r>
      <w:r>
        <w:rPr>
          <w:rFonts w:hint="eastAsia" w:ascii="宋体" w:hAnsi="宋体"/>
          <w:b/>
          <w:szCs w:val="28"/>
        </w:rPr>
        <w:t>：开展基层党建工作</w:t>
      </w:r>
    </w:p>
    <w:p>
      <w:pPr>
        <w:ind w:firstLine="560"/>
      </w:pPr>
      <w:r>
        <w:rPr>
          <w:rFonts w:hint="eastAsia"/>
        </w:rPr>
        <w:t>在各级基层开展党建工作的管理政策、方法及成效。包括但不限于：建设基础党组织、在基层员工开展各类党建学习活动的总结、案例、图片等。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专题：深耕扶贫事业，助力全面脱贫</w:t>
      </w:r>
    </w:p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10</w:t>
      </w:r>
      <w:r>
        <w:rPr>
          <w:rFonts w:hint="eastAsia" w:ascii="宋体" w:hAnsi="宋体"/>
          <w:b/>
          <w:szCs w:val="28"/>
        </w:rPr>
        <w:t>：信贷支持贫困地区建设</w:t>
      </w:r>
    </w:p>
    <w:p>
      <w:pPr>
        <w:ind w:firstLine="560"/>
      </w:pPr>
      <w:r>
        <w:rPr>
          <w:rFonts w:hint="eastAsia"/>
          <w:lang w:eastAsia="zh-CN"/>
        </w:rPr>
        <w:t>在</w:t>
      </w:r>
      <w:r>
        <w:rPr>
          <w:rFonts w:hint="eastAsia"/>
        </w:rPr>
        <w:t>信贷支持贫困地区建设</w:t>
      </w:r>
      <w:r>
        <w:rPr>
          <w:rFonts w:hint="eastAsia"/>
          <w:lang w:eastAsia="zh-CN"/>
        </w:rPr>
        <w:t>、</w:t>
      </w:r>
      <w:r>
        <w:rPr>
          <w:rFonts w:hint="eastAsia"/>
        </w:rPr>
        <w:t>支持贫</w:t>
      </w:r>
      <w:r>
        <w:rPr>
          <w:rFonts w:hint="eastAsia"/>
          <w:lang w:eastAsia="zh-CN"/>
        </w:rPr>
        <w:t>困地区</w:t>
      </w:r>
      <w:r>
        <w:rPr>
          <w:rFonts w:hint="eastAsia"/>
        </w:rPr>
        <w:t>龙头企业、</w:t>
      </w:r>
      <w:r>
        <w:rPr>
          <w:rFonts w:hint="eastAsia"/>
          <w:lang w:eastAsia="zh-CN"/>
        </w:rPr>
        <w:t>支持</w:t>
      </w:r>
      <w:r>
        <w:rPr>
          <w:rFonts w:hint="eastAsia"/>
        </w:rPr>
        <w:t>贫困农户</w:t>
      </w:r>
      <w:r>
        <w:rPr>
          <w:rFonts w:hint="eastAsia"/>
          <w:lang w:eastAsia="zh-CN"/>
        </w:rPr>
        <w:t>创</w:t>
      </w:r>
      <w:r>
        <w:rPr>
          <w:rFonts w:hint="eastAsia"/>
        </w:rPr>
        <w:t>业增收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促进贫困地区经济发展等方面的重要举措、成效、典型案例和图片。如，</w:t>
      </w:r>
      <w:r>
        <w:rPr>
          <w:rFonts w:hint="eastAsia"/>
          <w:lang w:eastAsia="zh-CN"/>
        </w:rPr>
        <w:t>信贷支持贫困地区企业、农户创业增收的事迹和现场照片。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11</w:t>
      </w:r>
      <w:r>
        <w:rPr>
          <w:rFonts w:hint="eastAsia" w:ascii="宋体" w:hAnsi="宋体"/>
          <w:b/>
          <w:szCs w:val="28"/>
        </w:rPr>
        <w:t>：扶贫捐赠及帮扶</w:t>
      </w:r>
    </w:p>
    <w:p>
      <w:pPr>
        <w:ind w:firstLine="560"/>
      </w:pPr>
      <w:r>
        <w:rPr>
          <w:rFonts w:hint="eastAsia"/>
        </w:rPr>
        <w:t>开展扶贫捐赠、定点扶贫帮扶的相关情况，包括但不限于：当年的重点举措与成效、典型案例、受助人群感言、图片等。（包括下乡扶贫、派驻驻村工作组等）。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12</w:t>
      </w:r>
      <w:r>
        <w:rPr>
          <w:rFonts w:hint="eastAsia" w:ascii="宋体" w:hAnsi="宋体"/>
          <w:b/>
          <w:szCs w:val="28"/>
        </w:rPr>
        <w:t>：支持产业扶贫</w:t>
      </w:r>
    </w:p>
    <w:p>
      <w:pPr>
        <w:ind w:firstLine="560"/>
      </w:pPr>
      <w:r>
        <w:rPr>
          <w:rFonts w:hint="eastAsia"/>
        </w:rPr>
        <w:t>对接当地产业扶贫项目与贫困户创业需求，以龙头企业、生产合作社等为依托，助力贫困户发展的特色优势产业重点项目、成效、典型案例和图片等。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13</w:t>
      </w:r>
      <w:r>
        <w:rPr>
          <w:rFonts w:hint="eastAsia" w:ascii="宋体" w:hAnsi="宋体"/>
          <w:b/>
          <w:szCs w:val="28"/>
        </w:rPr>
        <w:t>：创新金融扶贫</w:t>
      </w:r>
    </w:p>
    <w:p>
      <w:pPr>
        <w:ind w:firstLine="560"/>
      </w:pPr>
      <w:r>
        <w:rPr>
          <w:rFonts w:hint="eastAsia"/>
        </w:rPr>
        <w:t>创新金融扶贫方式，在支持扶贫龙头企业、带动贫困农户就业增收、促进贫困地区经济发展等方面的重要举措、成效、典型案例和图片。如，加大扶贫信贷投放、创新金融产品、发行扶贫债等。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14</w:t>
      </w:r>
      <w:r>
        <w:rPr>
          <w:rFonts w:hint="eastAsia" w:ascii="宋体" w:hAnsi="宋体"/>
          <w:b/>
          <w:szCs w:val="28"/>
        </w:rPr>
        <w:t>：定点扶贫</w:t>
      </w:r>
    </w:p>
    <w:p>
      <w:pPr>
        <w:ind w:firstLine="560"/>
      </w:pPr>
      <w:r>
        <w:rPr>
          <w:rFonts w:hint="eastAsia"/>
        </w:rPr>
        <w:t>开展定点扶贫的地域、当年的重点举措与成效、典型案例、受助人群感言、图片等。（包括下乡扶贫、派驻驻村工作组等）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1.1助推京津冀协同发展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指标1</w:t>
      </w:r>
      <w:r>
        <w:rPr>
          <w:rFonts w:ascii="宋体" w:hAnsi="宋体"/>
          <w:b/>
          <w:szCs w:val="28"/>
        </w:rPr>
        <w:t>5</w:t>
      </w:r>
      <w:r>
        <w:rPr>
          <w:rFonts w:hint="eastAsia" w:ascii="宋体" w:hAnsi="宋体"/>
          <w:b/>
          <w:szCs w:val="28"/>
        </w:rPr>
        <w:t>：支持京津冀协同发展</w:t>
      </w:r>
    </w:p>
    <w:p>
      <w:pPr>
        <w:ind w:firstLine="560"/>
      </w:pPr>
      <w:r>
        <w:rPr>
          <w:rFonts w:hint="eastAsia"/>
        </w:rPr>
        <w:t>围绕京津冀协同发展的从京津冀交通一体化、生态环境保护、产业协同发展三大重点领域，在创新金融服务、提供信贷支持等方面的具体举措、重点案例、图片，包括但不限于：服务雄安新区建设、承接北京非首都功能疏解项目、支持京津冀重大产业项目合作（如，产业融合、产业升级转移项目）、基础设施建设、重点生态治理工程、能源结构调整、生态廊道建设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1.2推动“一带一路”建设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指标1</w:t>
      </w:r>
      <w:r>
        <w:rPr>
          <w:rFonts w:ascii="宋体" w:hAnsi="宋体"/>
          <w:b/>
          <w:szCs w:val="28"/>
        </w:rPr>
        <w:t>6</w:t>
      </w:r>
      <w:r>
        <w:rPr>
          <w:rFonts w:hint="eastAsia" w:ascii="宋体" w:hAnsi="宋体"/>
          <w:b/>
          <w:szCs w:val="28"/>
        </w:rPr>
        <w:t>：“一带一路”业务布局</w:t>
      </w:r>
    </w:p>
    <w:p>
      <w:pPr>
        <w:ind w:firstLine="560"/>
      </w:pPr>
      <w:r>
        <w:rPr>
          <w:rFonts w:hint="eastAsia"/>
        </w:rPr>
        <w:t>在“一带一路”沿线国家开设机构、布局网点，拓展境外市场；与境外机构开发“一带一路”主题的跨境金融产品、拓展相关投融资金融业务的重点举措、成效、典型案例和图片。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spacing w:line="360" w:lineRule="auto"/>
              <w:ind w:firstLine="0" w:firstLineChars="0"/>
              <w:rPr>
                <w:rFonts w:hint="eastAsia" w:ascii="宋体" w:hAnsi="宋体"/>
                <w:szCs w:val="28"/>
              </w:rPr>
            </w:pPr>
          </w:p>
          <w:p>
            <w:pPr>
              <w:spacing w:line="360" w:lineRule="auto"/>
              <w:ind w:firstLine="0" w:firstLineChars="0"/>
              <w:rPr>
                <w:rFonts w:hint="eastAsia" w:ascii="宋体" w:hAnsi="宋体"/>
                <w:szCs w:val="28"/>
              </w:rPr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17</w:t>
      </w:r>
      <w:r>
        <w:rPr>
          <w:rFonts w:hint="eastAsia" w:ascii="宋体" w:hAnsi="宋体"/>
          <w:b/>
          <w:szCs w:val="28"/>
        </w:rPr>
        <w:t>：支持“一带一路”项目建设</w:t>
      </w:r>
    </w:p>
    <w:p>
      <w:pPr>
        <w:ind w:firstLine="560"/>
      </w:pPr>
      <w:r>
        <w:rPr>
          <w:rFonts w:hint="eastAsia"/>
        </w:rPr>
        <w:t>参与“一带一路”重点合作项目，对基础设施建设、产业转型升级等领域重点项目提供金融支持服务的相关情况。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  <w:p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18</w:t>
      </w:r>
      <w:r>
        <w:rPr>
          <w:rFonts w:hint="eastAsia" w:ascii="宋体" w:hAnsi="宋体"/>
          <w:b/>
          <w:szCs w:val="28"/>
        </w:rPr>
        <w:t>：促进交流合作</w:t>
      </w:r>
    </w:p>
    <w:p>
      <w:pPr>
        <w:ind w:firstLine="560"/>
      </w:pPr>
      <w:r>
        <w:rPr>
          <w:rFonts w:hint="eastAsia"/>
        </w:rPr>
        <w:t>与“一带一路”沿线国家和地区开展投资交流合作、扩大与海外人文交流的重点举措、成效、典型案例和图片。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  <w:p>
            <w:pPr>
              <w:spacing w:line="360" w:lineRule="auto"/>
              <w:ind w:firstLine="560"/>
              <w:rPr>
                <w:rFonts w:ascii="宋体" w:hAnsi="宋体"/>
                <w:szCs w:val="28"/>
              </w:rPr>
            </w:pPr>
          </w:p>
        </w:tc>
      </w:tr>
    </w:tbl>
    <w:p>
      <w:pPr>
        <w:ind w:firstLine="560"/>
        <w:rPr>
          <w:rFonts w:ascii="宋体" w:hAnsi="宋体"/>
          <w:szCs w:val="28"/>
        </w:rPr>
      </w:pPr>
    </w:p>
    <w:p>
      <w:pPr>
        <w:pStyle w:val="2"/>
        <w:spacing w:before="156" w:after="156"/>
      </w:pPr>
      <w:r>
        <w:rPr>
          <w:rFonts w:hint="eastAsia"/>
        </w:rPr>
        <w:t>1.</w:t>
      </w:r>
      <w:r>
        <w:t>3</w:t>
      </w:r>
      <w:r>
        <w:rPr>
          <w:rFonts w:hint="eastAsia"/>
        </w:rPr>
        <w:t>驱动天津经济转型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19</w:t>
      </w:r>
      <w:r>
        <w:rPr>
          <w:rFonts w:hint="eastAsia" w:ascii="宋体" w:hAnsi="宋体"/>
          <w:b/>
          <w:szCs w:val="28"/>
        </w:rPr>
        <w:t>：支持重点项目及重大产业项目</w:t>
      </w:r>
    </w:p>
    <w:p>
      <w:pPr>
        <w:ind w:firstLine="560"/>
      </w:pPr>
      <w:r>
        <w:rPr>
          <w:rFonts w:hint="eastAsia"/>
        </w:rPr>
        <w:t>支持全市重大项目建设（指列入20</w:t>
      </w:r>
      <w:r>
        <w:t>20</w:t>
      </w:r>
      <w:r>
        <w:rPr>
          <w:rFonts w:hint="eastAsia"/>
        </w:rPr>
        <w:t>年天津市发改委重点项目计划书的项目），以及科技创新、装备制造等领域的重大产业项目的具体举措、成效、典型案例及图片。包括但不限于民生领域重点项目及重大产业项目。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hint="eastAsia"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20</w:t>
      </w:r>
      <w:r>
        <w:rPr>
          <w:rFonts w:hint="eastAsia" w:ascii="宋体" w:hAnsi="宋体"/>
          <w:b/>
          <w:szCs w:val="28"/>
        </w:rPr>
        <w:t>：支持战略性新兴产业发展</w:t>
      </w:r>
    </w:p>
    <w:p>
      <w:pPr>
        <w:ind w:firstLine="560"/>
      </w:pPr>
      <w:r>
        <w:rPr>
          <w:rFonts w:hint="eastAsia"/>
        </w:rPr>
        <w:t>支持战略性新兴产业的重点投入领域、典型案例及其图片，包括但不限于：节能环保、新一代信息技术、生物、高端装备制造、新能源、新材料和新能源汽车等产业。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21</w:t>
      </w:r>
      <w:r>
        <w:rPr>
          <w:rFonts w:hint="eastAsia" w:ascii="宋体" w:hAnsi="宋体"/>
          <w:b/>
          <w:szCs w:val="28"/>
        </w:rPr>
        <w:t>：促进传统产业转型升级</w:t>
      </w:r>
    </w:p>
    <w:p>
      <w:pPr>
        <w:ind w:firstLine="560"/>
      </w:pPr>
      <w:r>
        <w:rPr>
          <w:rFonts w:hint="eastAsia"/>
        </w:rPr>
        <w:t>在支持传统产业优化升级、焕发新动能方面的重点举措、典型案例及其图片。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22</w:t>
      </w:r>
      <w:r>
        <w:rPr>
          <w:rFonts w:hint="eastAsia" w:ascii="宋体" w:hAnsi="宋体"/>
          <w:b/>
          <w:szCs w:val="28"/>
        </w:rPr>
        <w:t>：支持科技企业创新</w:t>
      </w:r>
    </w:p>
    <w:p>
      <w:pPr>
        <w:ind w:firstLine="560"/>
      </w:pPr>
      <w:r>
        <w:rPr>
          <w:rFonts w:hint="eastAsia"/>
        </w:rPr>
        <w:t>加大科技创新领域的信贷投放，为科技类企业提供专业化的金融服务，帮助科技企业培育创新成果的信贷政策、重点举措、典型案例、图片。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23</w:t>
      </w:r>
      <w:r>
        <w:rPr>
          <w:rFonts w:hint="eastAsia" w:ascii="宋体" w:hAnsi="宋体"/>
          <w:b/>
          <w:szCs w:val="28"/>
        </w:rPr>
        <w:t>：支持现代服务业发展</w:t>
      </w:r>
    </w:p>
    <w:p>
      <w:pPr>
        <w:ind w:firstLine="560"/>
      </w:pPr>
      <w:r>
        <w:rPr>
          <w:rFonts w:hint="eastAsia"/>
        </w:rPr>
        <w:t>支持现代服务业（如现代物流、信息消费、互联网经济、楼宇经济、养老服务业等第三产业行业）发展的整体情况、重点项目、典型案例及图片。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24</w:t>
      </w:r>
      <w:r>
        <w:rPr>
          <w:rFonts w:hint="eastAsia" w:ascii="宋体" w:hAnsi="宋体"/>
          <w:b/>
          <w:szCs w:val="28"/>
        </w:rPr>
        <w:t>：支持文化、旅游产业发展</w:t>
      </w:r>
    </w:p>
    <w:p>
      <w:pPr>
        <w:ind w:firstLine="560"/>
      </w:pPr>
      <w:r>
        <w:rPr>
          <w:rFonts w:hint="eastAsia"/>
        </w:rPr>
        <w:t>介绍支持文化、旅游产业发展的基本政策、主要举措、激励机制和风险控制机制，以及支持的典型文化、旅游产业项目介绍、经济社会效益、外界评价和相关图片。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25</w:t>
      </w:r>
      <w:r>
        <w:rPr>
          <w:rFonts w:hint="eastAsia" w:ascii="宋体" w:hAnsi="宋体"/>
          <w:b/>
          <w:szCs w:val="28"/>
        </w:rPr>
        <w:t>：助力农业结构优化调整</w:t>
      </w:r>
    </w:p>
    <w:p>
      <w:pPr>
        <w:ind w:firstLine="560"/>
      </w:pPr>
      <w:r>
        <w:rPr>
          <w:rFonts w:hint="eastAsia"/>
        </w:rPr>
        <w:t>在促进现代种植业、农业科技自主创新力提升，建设农业示范园区等方面发挥的贡献、重要举措、典型案例和图片。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26</w:t>
      </w:r>
      <w:r>
        <w:rPr>
          <w:rFonts w:hint="eastAsia" w:ascii="宋体" w:hAnsi="宋体"/>
          <w:b/>
          <w:szCs w:val="28"/>
        </w:rPr>
        <w:t>：支持创新企业</w:t>
      </w:r>
    </w:p>
    <w:p>
      <w:pPr>
        <w:ind w:firstLine="560"/>
        <w:rPr>
          <w:rFonts w:ascii="宋体" w:hAnsi="宋体"/>
          <w:b/>
          <w:szCs w:val="28"/>
        </w:rPr>
      </w:pPr>
      <w:r>
        <w:rPr>
          <w:rFonts w:hint="eastAsia"/>
        </w:rPr>
        <w:t>支持科技型企业发展的最新进展、成效、典型案例和图片</w:t>
      </w:r>
      <w:r>
        <w:rPr>
          <w:rFonts w:hint="eastAsia" w:ascii="宋体" w:hAnsi="宋体"/>
          <w:b/>
          <w:szCs w:val="28"/>
        </w:rPr>
        <w:t>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27</w:t>
      </w:r>
      <w:r>
        <w:rPr>
          <w:rFonts w:hint="eastAsia" w:ascii="宋体" w:hAnsi="宋体"/>
          <w:b/>
          <w:szCs w:val="28"/>
        </w:rPr>
        <w:t>：个人创业（助业）贷款年度工作情况</w:t>
      </w:r>
    </w:p>
    <w:p>
      <w:pPr>
        <w:ind w:firstLine="560"/>
      </w:pPr>
      <w:r>
        <w:rPr>
          <w:rFonts w:hint="eastAsia"/>
        </w:rPr>
        <w:t>支持高新技术人才、大学生、下岗再就业人员等个人创业，包括个人创业（助业）贷款覆盖区域，资助人员和项目情况，产生的经济和社会效益（带动就业、增加税收等）。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28</w:t>
      </w:r>
      <w:r>
        <w:rPr>
          <w:rFonts w:hint="eastAsia" w:ascii="宋体" w:hAnsi="宋体"/>
          <w:b/>
          <w:szCs w:val="28"/>
        </w:rPr>
        <w:t>：支持个人创业金融产品创新</w:t>
      </w:r>
    </w:p>
    <w:p>
      <w:pPr>
        <w:ind w:firstLine="560"/>
      </w:pPr>
      <w:r>
        <w:rPr>
          <w:rFonts w:hint="eastAsia"/>
        </w:rPr>
        <w:t>支持个人创业的金融服务模式和产品创新最新进展、成效、典型案例及图片。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1.</w:t>
      </w:r>
      <w:r>
        <w:t>4</w:t>
      </w:r>
      <w:r>
        <w:rPr>
          <w:rFonts w:hint="eastAsia"/>
        </w:rPr>
        <w:t>助力自贸区发展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29</w:t>
      </w:r>
      <w:r>
        <w:rPr>
          <w:rFonts w:hint="eastAsia" w:ascii="宋体" w:hAnsi="宋体"/>
          <w:b/>
          <w:szCs w:val="28"/>
        </w:rPr>
        <w:t>：支持天津自贸区发展</w:t>
      </w:r>
    </w:p>
    <w:p>
      <w:pPr>
        <w:ind w:firstLine="560"/>
      </w:pPr>
      <w:r>
        <w:rPr>
          <w:rFonts w:hint="eastAsia"/>
        </w:rPr>
        <w:t>在助力天津自贸试验区推进改革创新、促进投资、支持企业发展中发挥的作用和贡献的重点举措、成效、典型案例和图片。如，推动贸易转型升级、推动跨境人民币业务创新发展、深化金融领域开放创新、促进投资领域扩大开放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1.</w:t>
      </w:r>
      <w:r>
        <w:t>5</w:t>
      </w:r>
      <w:r>
        <w:rPr>
          <w:rFonts w:hint="eastAsia"/>
        </w:rPr>
        <w:t>完善跨境金融服务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30</w:t>
      </w:r>
      <w:r>
        <w:rPr>
          <w:rFonts w:hint="eastAsia" w:ascii="宋体" w:hAnsi="宋体"/>
          <w:b/>
          <w:szCs w:val="28"/>
        </w:rPr>
        <w:t>：拓展跨境金融服务</w:t>
      </w:r>
    </w:p>
    <w:p>
      <w:pPr>
        <w:ind w:firstLine="560"/>
      </w:pPr>
      <w:r>
        <w:rPr>
          <w:rFonts w:hint="eastAsia"/>
        </w:rPr>
        <w:t>支持本土企业“走出去”，拓展跨境贸易和海外投资、并购的重点举措、成效、典型案例和图片；支持海外企业“引进来”，在天津市开展业务的重点举措、成效、典型案例和图片；支持企业参与首届“进博会”的相关举措、成果、典型案例和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2.1深化全面风险管理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31</w:t>
      </w:r>
      <w:r>
        <w:rPr>
          <w:rFonts w:hint="eastAsia" w:ascii="宋体" w:hAnsi="宋体"/>
          <w:b/>
          <w:szCs w:val="28"/>
        </w:rPr>
        <w:t>：全面风险管理机制</w:t>
      </w:r>
      <w:r>
        <w:rPr>
          <w:rFonts w:ascii="宋体" w:hAnsi="宋体"/>
          <w:b/>
          <w:szCs w:val="28"/>
        </w:rPr>
        <w:t xml:space="preserve"> </w:t>
      </w:r>
    </w:p>
    <w:p>
      <w:pPr>
        <w:ind w:firstLine="560"/>
      </w:pPr>
      <w:r>
        <w:rPr>
          <w:rFonts w:hint="eastAsia"/>
        </w:rPr>
        <w:t>加强全面风险管理的重点举措及其成效。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32</w:t>
      </w:r>
      <w:r>
        <w:rPr>
          <w:rFonts w:hint="eastAsia" w:ascii="宋体" w:hAnsi="宋体"/>
          <w:b/>
          <w:szCs w:val="28"/>
        </w:rPr>
        <w:t>：重点风险防控</w:t>
      </w:r>
    </w:p>
    <w:p>
      <w:pPr>
        <w:ind w:firstLine="560"/>
      </w:pPr>
      <w:r>
        <w:rPr>
          <w:rFonts w:hint="eastAsia"/>
        </w:rPr>
        <w:t>推进合规风险、信用风险、操作风险等重点风险领域防控的重点举措、进展、成效等。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33</w:t>
      </w:r>
      <w:r>
        <w:rPr>
          <w:rFonts w:hint="eastAsia" w:ascii="宋体" w:hAnsi="宋体"/>
          <w:b/>
          <w:szCs w:val="28"/>
        </w:rPr>
        <w:t>：提升风险防范意识</w:t>
      </w:r>
    </w:p>
    <w:p>
      <w:pPr>
        <w:ind w:firstLine="560"/>
        <w:rPr>
          <w:rFonts w:hint="eastAsia"/>
        </w:rPr>
      </w:pPr>
      <w:r>
        <w:rPr>
          <w:rFonts w:hint="eastAsia"/>
        </w:rPr>
        <w:t>提升员工风险防范意识方面的主要举措、进展和典型案例、图片等。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2.2推进合规文化建设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34</w:t>
      </w:r>
      <w:r>
        <w:rPr>
          <w:rFonts w:hint="eastAsia" w:ascii="宋体" w:hAnsi="宋体"/>
          <w:b/>
          <w:szCs w:val="28"/>
        </w:rPr>
        <w:t>：合规风险管理</w:t>
      </w:r>
    </w:p>
    <w:p>
      <w:pPr>
        <w:ind w:firstLine="560"/>
      </w:pPr>
      <w:r>
        <w:rPr>
          <w:rFonts w:hint="eastAsia"/>
        </w:rPr>
        <w:t>推进合规风险管理的最新举措、重大进展、典型案例等。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35</w:t>
      </w:r>
      <w:r>
        <w:rPr>
          <w:rFonts w:hint="eastAsia" w:ascii="宋体" w:hAnsi="宋体"/>
          <w:b/>
          <w:szCs w:val="28"/>
        </w:rPr>
        <w:t>：员工行为准则</w:t>
      </w:r>
    </w:p>
    <w:p>
      <w:pPr>
        <w:ind w:firstLine="560"/>
      </w:pPr>
      <w:r>
        <w:rPr>
          <w:rFonts w:hint="eastAsia"/>
        </w:rPr>
        <w:t>在员工行为准则制定、完善及推行上具体的工作进展及措施。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  <w:rPr>
                <w:rFonts w:hint="eastAsia"/>
              </w:rPr>
            </w:pPr>
          </w:p>
        </w:tc>
      </w:tr>
    </w:tbl>
    <w:p>
      <w:pPr>
        <w:ind w:firstLine="560"/>
        <w:rPr>
          <w:rFonts w:hint="eastAsia"/>
        </w:rPr>
      </w:pPr>
    </w:p>
    <w:p>
      <w:pPr>
        <w:pStyle w:val="2"/>
        <w:spacing w:before="156" w:after="156"/>
      </w:pPr>
      <w:r>
        <w:rPr>
          <w:rFonts w:hint="eastAsia"/>
        </w:rPr>
        <w:t>2.</w:t>
      </w:r>
      <w:r>
        <w:t>3</w:t>
      </w:r>
      <w:r>
        <w:rPr>
          <w:rFonts w:hint="eastAsia"/>
        </w:rPr>
        <w:t>提倡“清廉金融文化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36</w:t>
      </w:r>
      <w:r>
        <w:rPr>
          <w:rFonts w:hint="eastAsia" w:ascii="宋体" w:hAnsi="宋体"/>
          <w:b/>
          <w:szCs w:val="28"/>
        </w:rPr>
        <w:t>：强化从业人员规范</w:t>
      </w:r>
      <w:r>
        <w:rPr>
          <w:rFonts w:ascii="宋体" w:hAnsi="宋体"/>
          <w:b/>
          <w:szCs w:val="28"/>
        </w:rPr>
        <w:t xml:space="preserve"> </w:t>
      </w:r>
    </w:p>
    <w:p>
      <w:pPr>
        <w:ind w:firstLine="560"/>
      </w:pPr>
      <w:r>
        <w:rPr>
          <w:rFonts w:hint="eastAsia"/>
        </w:rPr>
        <w:t>在规范银行业金融机构从业人员行为相关情况，包括但不限于：制定或遵循的相关管理政策；针对违法违规行为的整治措施；强调恪守工作纪律、加强员工规范从业培训的相关案例和图片等。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  <w:rPr>
          <w:rFonts w:hint="eastAsia"/>
        </w:rPr>
      </w:pPr>
    </w:p>
    <w:p>
      <w:pPr>
        <w:pStyle w:val="2"/>
        <w:spacing w:before="156" w:after="156"/>
      </w:pPr>
      <w:r>
        <w:t>2.4</w:t>
      </w:r>
      <w:r>
        <w:rPr>
          <w:rFonts w:hint="eastAsia"/>
        </w:rPr>
        <w:t>持续提升内控水平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37</w:t>
      </w:r>
      <w:r>
        <w:rPr>
          <w:rFonts w:hint="eastAsia" w:ascii="宋体" w:hAnsi="宋体"/>
          <w:b/>
          <w:szCs w:val="28"/>
        </w:rPr>
        <w:t>：内控体系建设</w:t>
      </w:r>
    </w:p>
    <w:p>
      <w:pPr>
        <w:ind w:firstLine="560"/>
      </w:pPr>
      <w:r>
        <w:rPr>
          <w:rFonts w:hint="eastAsia"/>
        </w:rPr>
        <w:t>为完善、优化内控体系采取的重点措施及成效(适用于法人机构）。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38</w:t>
      </w:r>
      <w:r>
        <w:rPr>
          <w:rFonts w:hint="eastAsia" w:ascii="宋体" w:hAnsi="宋体"/>
          <w:b/>
          <w:szCs w:val="28"/>
        </w:rPr>
        <w:t>：反洗钱工作情况</w:t>
      </w:r>
    </w:p>
    <w:p>
      <w:pPr>
        <w:ind w:firstLine="560"/>
      </w:pPr>
      <w:r>
        <w:rPr>
          <w:rFonts w:hint="eastAsia"/>
        </w:rPr>
        <w:t>反洗钱系统建设、反洗钱工作措施、培训宣传的最新进展、成效及图片。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t>3</w:t>
      </w:r>
      <w:r>
        <w:rPr>
          <w:rFonts w:hint="eastAsia"/>
        </w:rPr>
        <w:t>.1服务小微企业发展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39</w:t>
      </w:r>
      <w:r>
        <w:rPr>
          <w:rFonts w:hint="eastAsia" w:ascii="宋体" w:hAnsi="宋体"/>
          <w:b/>
          <w:szCs w:val="28"/>
        </w:rPr>
        <w:t>：服务小微企业方面的总体情况</w:t>
      </w:r>
    </w:p>
    <w:p>
      <w:pPr>
        <w:ind w:firstLine="560"/>
      </w:pPr>
      <w:r>
        <w:rPr>
          <w:rFonts w:hint="eastAsia"/>
        </w:rPr>
        <w:t>促进小微企业发展的基本政策、制度、举措、机制和风险控制机制。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40</w:t>
      </w:r>
      <w:r>
        <w:rPr>
          <w:rFonts w:hint="eastAsia" w:ascii="宋体" w:hAnsi="宋体"/>
          <w:b/>
          <w:szCs w:val="28"/>
        </w:rPr>
        <w:t>：小微金融产品服务创新</w:t>
      </w:r>
    </w:p>
    <w:p>
      <w:pPr>
        <w:ind w:firstLine="560"/>
      </w:pPr>
      <w:r>
        <w:rPr>
          <w:rFonts w:hint="eastAsia"/>
        </w:rPr>
        <w:t>服务小微企业的金融服务模式和产品创新最新进展、成效、典型案例及图片。</w:t>
      </w:r>
    </w:p>
    <w:p>
      <w:pPr>
        <w:ind w:firstLine="560"/>
      </w:pPr>
      <w:r>
        <w:rPr>
          <w:rFonts w:hint="eastAsia"/>
        </w:rPr>
        <w:t>促进小微企业发展的基本政策、制度、举措、机制和风险控制机制。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t>3</w:t>
      </w:r>
      <w:r>
        <w:rPr>
          <w:rFonts w:hint="eastAsia"/>
        </w:rPr>
        <w:t>.</w:t>
      </w:r>
      <w:r>
        <w:t>2</w:t>
      </w:r>
      <w:r>
        <w:rPr>
          <w:rFonts w:hint="eastAsia"/>
        </w:rPr>
        <w:t>落实乡村振兴战略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41</w:t>
      </w:r>
      <w:r>
        <w:rPr>
          <w:rFonts w:hint="eastAsia" w:ascii="宋体" w:hAnsi="宋体"/>
          <w:b/>
          <w:szCs w:val="28"/>
        </w:rPr>
        <w:t>：服务“三农”的总体情况</w:t>
      </w:r>
    </w:p>
    <w:p>
      <w:pPr>
        <w:ind w:firstLine="560"/>
      </w:pPr>
      <w:r>
        <w:rPr>
          <w:rFonts w:hint="eastAsia"/>
        </w:rPr>
        <w:t>为促进农业农村发展、助力乡村振兴的基本政策、制度、目标、举措、激励机制和风险控制机制。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42</w:t>
      </w:r>
      <w:r>
        <w:rPr>
          <w:rFonts w:hint="eastAsia" w:ascii="宋体" w:hAnsi="宋体"/>
          <w:b/>
          <w:szCs w:val="28"/>
        </w:rPr>
        <w:t>：服务“三农”金融渠道建设</w:t>
      </w:r>
    </w:p>
    <w:p>
      <w:pPr>
        <w:ind w:firstLine="560"/>
      </w:pPr>
      <w:r>
        <w:rPr>
          <w:rFonts w:hint="eastAsia"/>
        </w:rPr>
        <w:t>为拓展“三农”金融服务渠道（如建设村镇银行、社区金融、电子银行等），提升农村地区服务网点覆盖所采取的措施、成效以及典型案例和图片。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43</w:t>
      </w:r>
      <w:r>
        <w:rPr>
          <w:rFonts w:hint="eastAsia" w:ascii="宋体" w:hAnsi="宋体"/>
          <w:b/>
          <w:szCs w:val="28"/>
        </w:rPr>
        <w:t>：服务“三农”金融产品创新</w:t>
      </w:r>
    </w:p>
    <w:p>
      <w:pPr>
        <w:ind w:firstLine="560"/>
      </w:pPr>
      <w:r>
        <w:rPr>
          <w:rFonts w:hint="eastAsia"/>
        </w:rPr>
        <w:t>介绍服务“三农”的典型金融产品和新增金融产品（如“三农”专项金融债），包括对产品内容的简介和实施成效（包括产品涉及到客户数量，带来的经济社会效益）的总结。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44</w:t>
      </w:r>
      <w:r>
        <w:rPr>
          <w:rFonts w:hint="eastAsia" w:ascii="宋体" w:hAnsi="宋体"/>
          <w:b/>
          <w:szCs w:val="28"/>
        </w:rPr>
        <w:t>：农村基础设施建设</w:t>
      </w:r>
    </w:p>
    <w:p>
      <w:pPr>
        <w:ind w:firstLine="560"/>
      </w:pPr>
      <w:r>
        <w:rPr>
          <w:rFonts w:hint="eastAsia"/>
        </w:rPr>
        <w:t>在推进农村环境治理、健全卫生治理机制、推动农村基础设施建设等方面的重要举措、成效、典型案例和图片。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t>3.3</w:t>
      </w:r>
      <w:r>
        <w:rPr>
          <w:rFonts w:hint="eastAsia"/>
        </w:rPr>
        <w:t>推动“百行进万企”融资对接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45</w:t>
      </w:r>
      <w:r>
        <w:rPr>
          <w:rFonts w:hint="eastAsia" w:ascii="宋体" w:hAnsi="宋体"/>
          <w:b/>
          <w:szCs w:val="28"/>
        </w:rPr>
        <w:t>：开展“百行进万企”行动</w:t>
      </w:r>
    </w:p>
    <w:p>
      <w:pPr>
        <w:ind w:firstLine="560"/>
      </w:pPr>
      <w:r>
        <w:rPr>
          <w:rFonts w:hint="eastAsia"/>
        </w:rPr>
        <w:t>在开展“百行进万企”行动方面的整体情况，包括但不限于：将"百行进万企"纳入重点工作清单与绩效考核；积极参与企业走访与座谈沟通，了解企业生产经营和融资需求；创新企业融资对接模式，提升对接服务覆盖面等；以及融资对接的相关成效，如实际对接企业数量、贷款金额、贷款利率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  <w:rPr>
          <w:rFonts w:hint="eastAsia"/>
        </w:rPr>
      </w:pPr>
    </w:p>
    <w:p>
      <w:pPr>
        <w:pStyle w:val="2"/>
        <w:spacing w:before="156" w:after="156"/>
      </w:pPr>
      <w:r>
        <w:t>3.4</w:t>
      </w:r>
      <w:r>
        <w:rPr>
          <w:rFonts w:hint="eastAsia"/>
        </w:rPr>
        <w:t>持续增进民生福祉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46</w:t>
      </w:r>
      <w:r>
        <w:rPr>
          <w:rFonts w:hint="eastAsia" w:ascii="宋体" w:hAnsi="宋体"/>
          <w:b/>
          <w:szCs w:val="28"/>
        </w:rPr>
        <w:t>：支持民生和公共服务项目建设</w:t>
      </w:r>
    </w:p>
    <w:p>
      <w:pPr>
        <w:ind w:firstLine="560"/>
      </w:pPr>
      <w:r>
        <w:rPr>
          <w:rFonts w:hint="eastAsia"/>
        </w:rPr>
        <w:t>支持民生和公共服务项目建设的相关政策、主要举措、典型案例及图片，包括但不限于：交通出行项目建设、教育基础设施建设；公共卫生与公共文化设施建设（如：开展银医合作、建设智慧医疗项目）。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47</w:t>
      </w:r>
      <w:r>
        <w:rPr>
          <w:rFonts w:hint="eastAsia" w:ascii="宋体" w:hAnsi="宋体"/>
          <w:b/>
          <w:szCs w:val="28"/>
        </w:rPr>
        <w:t>：支持保障性安居工程建设</w:t>
      </w:r>
    </w:p>
    <w:p>
      <w:pPr>
        <w:ind w:firstLine="560"/>
      </w:pPr>
      <w:r>
        <w:rPr>
          <w:rFonts w:hint="eastAsia"/>
        </w:rPr>
        <w:t>支持保障性安居工程建设的信贷政策（如实施差异化信贷政策、支持低收入阶层改善住房条件等）、主要举措、风险控制机制、典型案例及图片。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t>3.5</w:t>
      </w:r>
      <w:r>
        <w:rPr>
          <w:rFonts w:hint="eastAsia"/>
        </w:rPr>
        <w:t>支持科教文卫事业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48</w:t>
      </w:r>
      <w:r>
        <w:rPr>
          <w:rFonts w:hint="eastAsia" w:ascii="宋体" w:hAnsi="宋体"/>
          <w:b/>
          <w:szCs w:val="28"/>
        </w:rPr>
        <w:t>：个人助学贷款年度工作情况</w:t>
      </w:r>
    </w:p>
    <w:p>
      <w:pPr>
        <w:ind w:firstLine="560"/>
      </w:pPr>
      <w:r>
        <w:rPr>
          <w:rFonts w:hint="eastAsia"/>
        </w:rPr>
        <w:t>发放个人助学贷款的相关情况，包括个人助学贷款覆盖区域，资助学生情况，产生的社会效益，相关报道和受助人感言等。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49</w:t>
      </w:r>
      <w:r>
        <w:rPr>
          <w:rFonts w:hint="eastAsia" w:ascii="宋体" w:hAnsi="宋体"/>
          <w:b/>
          <w:szCs w:val="28"/>
        </w:rPr>
        <w:t>：医疗卫生贷款年度工作情况</w:t>
      </w:r>
    </w:p>
    <w:p>
      <w:pPr>
        <w:ind w:firstLine="560"/>
      </w:pPr>
      <w:r>
        <w:rPr>
          <w:rFonts w:hint="eastAsia"/>
        </w:rPr>
        <w:t>发放个人医疗贷款工作情况、典型案例、图片、客户感言等。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50</w:t>
      </w:r>
      <w:r>
        <w:rPr>
          <w:rFonts w:hint="eastAsia" w:ascii="宋体" w:hAnsi="宋体"/>
          <w:b/>
          <w:szCs w:val="28"/>
        </w:rPr>
        <w:t>：支持文化产业发展的相关情况</w:t>
      </w:r>
    </w:p>
    <w:p>
      <w:pPr>
        <w:ind w:firstLine="560"/>
      </w:pPr>
      <w:r>
        <w:rPr>
          <w:rFonts w:hint="eastAsia"/>
        </w:rPr>
        <w:t>介绍支持文化产业发展的基本政策、主要举措、激励机制和风险控制机制。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51</w:t>
      </w:r>
      <w:r>
        <w:rPr>
          <w:rFonts w:hint="eastAsia" w:ascii="宋体" w:hAnsi="宋体"/>
          <w:b/>
          <w:szCs w:val="28"/>
        </w:rPr>
        <w:t>：服务科研领域的相关情况</w:t>
      </w:r>
    </w:p>
    <w:p>
      <w:pPr>
        <w:ind w:firstLine="560"/>
      </w:pPr>
      <w:r>
        <w:rPr>
          <w:rFonts w:hint="eastAsia"/>
        </w:rPr>
        <w:t>介绍对科研项目提供信贷支持、金融服务的基本政策、主要举措、激励机制和风险控制机制。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4.1推进金融创新，助力抗疫胜利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52</w:t>
      </w:r>
      <w:r>
        <w:rPr>
          <w:rFonts w:hint="eastAsia" w:ascii="宋体" w:hAnsi="宋体"/>
          <w:b/>
          <w:szCs w:val="28"/>
        </w:rPr>
        <w:t>：推进业务数字化转型</w:t>
      </w:r>
    </w:p>
    <w:p>
      <w:pPr>
        <w:ind w:firstLine="560"/>
      </w:pPr>
      <w:r>
        <w:rPr>
          <w:rFonts w:hint="eastAsia"/>
        </w:rPr>
        <w:t>借助金融科技等创新技术手段，推进服务模式转型、业务流程优化的政策、制度、重点举措、典型案例及图片。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53</w:t>
      </w:r>
      <w:r>
        <w:rPr>
          <w:rFonts w:hint="eastAsia" w:ascii="宋体" w:hAnsi="宋体"/>
          <w:b/>
          <w:szCs w:val="28"/>
        </w:rPr>
        <w:t>：自助服务渠道建设</w:t>
      </w:r>
    </w:p>
    <w:p>
      <w:pPr>
        <w:ind w:firstLine="560"/>
      </w:pPr>
      <w:r>
        <w:rPr>
          <w:rFonts w:hint="eastAsia"/>
        </w:rPr>
        <w:t>手机银行、智能服务设施建设的主要进展及成效、客户评价、图片等。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  <w:rPr>
          <w:rFonts w:ascii="宋体" w:hAnsi="宋体"/>
          <w:szCs w:val="28"/>
        </w:rPr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54</w:t>
      </w:r>
      <w:r>
        <w:rPr>
          <w:rFonts w:hint="eastAsia" w:ascii="宋体" w:hAnsi="宋体"/>
          <w:b/>
          <w:szCs w:val="28"/>
        </w:rPr>
        <w:t>：互联网金融产品创新</w:t>
      </w:r>
    </w:p>
    <w:p>
      <w:pPr>
        <w:ind w:firstLine="560"/>
      </w:pPr>
      <w:r>
        <w:rPr>
          <w:rFonts w:hint="eastAsia"/>
        </w:rPr>
        <w:t>积极响应“互联网+”，应用互联网思维，创新金融产品、服务模式的举措、重要进展、成效和典型案例。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55</w:t>
      </w:r>
      <w:r>
        <w:rPr>
          <w:rFonts w:hint="eastAsia" w:ascii="宋体" w:hAnsi="宋体"/>
          <w:b/>
          <w:szCs w:val="28"/>
        </w:rPr>
        <w:t>：重点产品服务创新</w:t>
      </w:r>
    </w:p>
    <w:p>
      <w:pPr>
        <w:ind w:firstLine="560"/>
      </w:pPr>
      <w:r>
        <w:rPr>
          <w:rFonts w:hint="eastAsia"/>
        </w:rPr>
        <w:t>在个人业务、公司业务等领域，本年度新推出的具有代表性的金融产品服务，可简要介绍相关的创新举措、创新成果、典型案例及图片。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4.2加快网点转型，提升渠道路径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56</w:t>
      </w:r>
      <w:r>
        <w:rPr>
          <w:rFonts w:hint="eastAsia" w:ascii="宋体" w:hAnsi="宋体"/>
          <w:b/>
          <w:szCs w:val="28"/>
        </w:rPr>
        <w:t>：改善营业网点服务情况</w:t>
      </w:r>
    </w:p>
    <w:p>
      <w:pPr>
        <w:ind w:firstLine="560"/>
      </w:pPr>
      <w:r>
        <w:rPr>
          <w:rFonts w:hint="eastAsia"/>
        </w:rPr>
        <w:t>营业网点进行布局与功能优化、温馨布置等情况；</w:t>
      </w:r>
    </w:p>
    <w:p>
      <w:pPr>
        <w:ind w:firstLine="560"/>
      </w:pPr>
      <w:r>
        <w:rPr>
          <w:rFonts w:hint="eastAsia"/>
        </w:rPr>
        <w:t>加强安保以保护客户人身、财产安全重点举措和典型案例及图片；</w:t>
      </w:r>
    </w:p>
    <w:p>
      <w:pPr>
        <w:ind w:firstLine="560"/>
      </w:pPr>
      <w:r>
        <w:rPr>
          <w:rFonts w:hint="eastAsia"/>
        </w:rPr>
        <w:t>提供延时、错时服务的相关政策机制、具体举措、工作成效（如提供延时、错时服务的网点数量）及客户感言。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4.3推动流程优化，提高客户服务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57</w:t>
      </w:r>
      <w:r>
        <w:rPr>
          <w:rFonts w:hint="eastAsia" w:ascii="宋体" w:hAnsi="宋体"/>
          <w:b/>
          <w:szCs w:val="28"/>
        </w:rPr>
        <w:t>：业务流程优化改进</w:t>
      </w:r>
    </w:p>
    <w:p>
      <w:pPr>
        <w:ind w:firstLine="560"/>
      </w:pPr>
      <w:r>
        <w:rPr>
          <w:rFonts w:hint="eastAsia"/>
        </w:rPr>
        <w:t>针对客户服务的需求和痛点，从前中后台优化改进业务服务流程相关举措、实践情况、典型案例等，着重体现提升服务标准化和客户体验的一致性，优化客户服务体验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4.4共建公平市场，保护客户权益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58</w:t>
      </w:r>
      <w:r>
        <w:rPr>
          <w:rFonts w:hint="eastAsia" w:ascii="宋体" w:hAnsi="宋体"/>
          <w:b/>
          <w:szCs w:val="28"/>
        </w:rPr>
        <w:t>：特殊群体服务</w:t>
      </w:r>
    </w:p>
    <w:p>
      <w:pPr>
        <w:ind w:firstLine="560"/>
      </w:pPr>
      <w:r>
        <w:rPr>
          <w:rFonts w:hint="eastAsia"/>
        </w:rPr>
        <w:t>特殊群体服务的政策、制度、具体措施（如无障碍通道建设、设备布放等）、典型案例及图片；包括：营业场所无障碍设施、提供延时、错时服务等。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59</w:t>
      </w:r>
      <w:r>
        <w:rPr>
          <w:rFonts w:hint="eastAsia" w:ascii="宋体" w:hAnsi="宋体"/>
          <w:b/>
          <w:szCs w:val="28"/>
        </w:rPr>
        <w:t>：消费者权益保护</w:t>
      </w:r>
    </w:p>
    <w:p>
      <w:pPr>
        <w:ind w:firstLine="560"/>
      </w:pPr>
      <w:r>
        <w:rPr>
          <w:rFonts w:hint="eastAsia"/>
        </w:rPr>
        <w:t>积极维护客户权益，保障客户资产安全（保障网点安全、客户账户安全、个人信息安全等），健全投诉反馈机制的具体举措及其成效。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60</w:t>
      </w:r>
      <w:r>
        <w:rPr>
          <w:rFonts w:hint="eastAsia" w:ascii="宋体" w:hAnsi="宋体"/>
          <w:b/>
          <w:szCs w:val="28"/>
        </w:rPr>
        <w:t>：客户投诉机制</w:t>
      </w:r>
    </w:p>
    <w:p>
      <w:pPr>
        <w:ind w:firstLine="560"/>
      </w:pPr>
      <w:r>
        <w:rPr>
          <w:rFonts w:hint="eastAsia"/>
        </w:rPr>
        <w:t>在完善客户投诉机制方面具体举措、工作亮点及成效。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61</w:t>
      </w:r>
      <w:r>
        <w:rPr>
          <w:rFonts w:hint="eastAsia" w:ascii="宋体" w:hAnsi="宋体"/>
          <w:b/>
          <w:szCs w:val="28"/>
        </w:rPr>
        <w:t>：客户满意度调查</w:t>
      </w:r>
    </w:p>
    <w:p>
      <w:pPr>
        <w:ind w:firstLine="560"/>
      </w:pPr>
      <w:r>
        <w:rPr>
          <w:rFonts w:hint="eastAsia"/>
        </w:rPr>
        <w:t>满意度调查工作推进情况（如是否采用问卷调查等形式开展专项客户满意度调查），提高客户满意度方面的工作重点以及突出成效。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t>5.</w:t>
      </w:r>
      <w:r>
        <w:rPr>
          <w:rFonts w:hint="eastAsia"/>
        </w:rPr>
        <w:t>1推进绿色信贷发展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62</w:t>
      </w:r>
      <w:r>
        <w:rPr>
          <w:rFonts w:hint="eastAsia" w:ascii="宋体" w:hAnsi="宋体"/>
          <w:b/>
          <w:szCs w:val="28"/>
        </w:rPr>
        <w:t>：绿色信贷实施情况</w:t>
      </w:r>
    </w:p>
    <w:p>
      <w:pPr>
        <w:ind w:firstLine="560"/>
      </w:pPr>
      <w:r>
        <w:rPr>
          <w:rFonts w:hint="eastAsia"/>
        </w:rPr>
        <w:t>落实“绿色信贷指引”所采取的措施，以及相关的信贷政策、举措、成效和典型案例。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63</w:t>
      </w:r>
      <w:r>
        <w:rPr>
          <w:rFonts w:hint="eastAsia" w:ascii="宋体" w:hAnsi="宋体"/>
          <w:b/>
          <w:szCs w:val="28"/>
        </w:rPr>
        <w:t>：绿色金融产品创新</w:t>
      </w:r>
    </w:p>
    <w:p>
      <w:pPr>
        <w:ind w:firstLine="560"/>
      </w:pPr>
      <w:r>
        <w:rPr>
          <w:rFonts w:hint="eastAsia"/>
        </w:rPr>
        <w:t>有利于环境保护、节能减排以及低碳发展的金融产品及其推广应用情况，包括：绿色金融债券，绿色抵押，绿色环保卡（如ETC）等。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64</w:t>
      </w:r>
      <w:r>
        <w:rPr>
          <w:rFonts w:hint="eastAsia" w:ascii="宋体" w:hAnsi="宋体"/>
          <w:b/>
          <w:szCs w:val="28"/>
        </w:rPr>
        <w:t>：压降落后产能</w:t>
      </w:r>
    </w:p>
    <w:p>
      <w:pPr>
        <w:ind w:firstLine="560"/>
      </w:pPr>
      <w:r>
        <w:rPr>
          <w:rFonts w:hint="eastAsia"/>
        </w:rPr>
        <w:t>针对产能过剩、“两高一剩”等产业所采取的信贷政策、重点举措、典型案例及图片。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指标6</w:t>
      </w:r>
      <w:r>
        <w:rPr>
          <w:rFonts w:ascii="宋体" w:hAnsi="宋体"/>
          <w:b/>
          <w:szCs w:val="28"/>
        </w:rPr>
        <w:t>5</w:t>
      </w:r>
      <w:r>
        <w:rPr>
          <w:rFonts w:hint="eastAsia" w:ascii="宋体" w:hAnsi="宋体"/>
          <w:b/>
          <w:szCs w:val="28"/>
        </w:rPr>
        <w:t>：支持节能环保产业</w:t>
      </w:r>
    </w:p>
    <w:p>
      <w:pPr>
        <w:ind w:firstLine="560"/>
      </w:pPr>
      <w:r>
        <w:rPr>
          <w:rFonts w:hint="eastAsia"/>
        </w:rPr>
        <w:t>支持节能、环保以及新能源等产业发展所采取的措施、环境减排效益（包括节约标准煤、削减化学需氧量、削减二氧化硫量等）。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t>5.2</w:t>
      </w:r>
      <w:r>
        <w:rPr>
          <w:rFonts w:hint="eastAsia"/>
        </w:rPr>
        <w:t>助力生态环境改善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66</w:t>
      </w:r>
      <w:r>
        <w:rPr>
          <w:rFonts w:hint="eastAsia" w:ascii="宋体" w:hAnsi="宋体"/>
          <w:b/>
          <w:szCs w:val="28"/>
        </w:rPr>
        <w:t>：助力城市生态环境改善</w:t>
      </w:r>
    </w:p>
    <w:p>
      <w:pPr>
        <w:ind w:firstLine="560"/>
      </w:pPr>
      <w:r>
        <w:rPr>
          <w:rFonts w:hint="eastAsia"/>
        </w:rPr>
        <w:t>响应“美丽天津 · 一号工程”，支持建设郊野公园、绿化工程、湿地修复、大气污染防治等生态环保项目的重点举措、典型案例及图片。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t>5</w:t>
      </w:r>
      <w:r>
        <w:rPr>
          <w:rFonts w:hint="eastAsia"/>
        </w:rPr>
        <w:t>.3坚持绿色低碳运营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67</w:t>
      </w:r>
      <w:r>
        <w:rPr>
          <w:rFonts w:hint="eastAsia" w:ascii="宋体" w:hAnsi="宋体"/>
          <w:b/>
          <w:szCs w:val="28"/>
        </w:rPr>
        <w:t>：环境管理制度</w:t>
      </w:r>
    </w:p>
    <w:p>
      <w:pPr>
        <w:ind w:firstLine="560"/>
      </w:pPr>
      <w:r>
        <w:rPr>
          <w:rFonts w:hint="eastAsia"/>
        </w:rPr>
        <w:t>制定的绿色运营、绿色办公、绿色采购等环境管理相关政策和制度以及其执行情况。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68</w:t>
      </w:r>
      <w:r>
        <w:rPr>
          <w:rFonts w:hint="eastAsia" w:ascii="宋体" w:hAnsi="宋体"/>
          <w:b/>
          <w:szCs w:val="28"/>
        </w:rPr>
        <w:t>：绿色服务渠道</w:t>
      </w:r>
    </w:p>
    <w:p>
      <w:pPr>
        <w:ind w:firstLine="560"/>
      </w:pPr>
      <w:r>
        <w:rPr>
          <w:rFonts w:hint="eastAsia"/>
        </w:rPr>
        <w:t>电子渠道推广对降低金融服务环境影响的作用，如以电子凭证替代纸张、节省客户出行次数从而降低碳排量等等。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指标6</w:t>
      </w:r>
      <w:r>
        <w:rPr>
          <w:rFonts w:ascii="宋体" w:hAnsi="宋体"/>
          <w:b/>
          <w:szCs w:val="28"/>
        </w:rPr>
        <w:t>9</w:t>
      </w:r>
      <w:r>
        <w:rPr>
          <w:rFonts w:hint="eastAsia" w:ascii="宋体" w:hAnsi="宋体"/>
          <w:b/>
          <w:szCs w:val="28"/>
        </w:rPr>
        <w:t>：绿色低碳运营</w:t>
      </w:r>
    </w:p>
    <w:p>
      <w:pPr>
        <w:ind w:firstLine="560"/>
      </w:pPr>
      <w:r>
        <w:rPr>
          <w:rFonts w:hint="eastAsia"/>
        </w:rPr>
        <w:t>将节能环保理念和技术融入办公楼、营业网点等建设过程的主要举措和典型案例；员工日常办公过程采取的节约环保的做法、成效和典型案例（如视频会议减排的二氧化碳、电子化办公系统减少的纸张数量、采用节能设备、办公垃圾细化处理等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t>5.4</w:t>
      </w:r>
      <w:r>
        <w:rPr>
          <w:rFonts w:hint="eastAsia"/>
        </w:rPr>
        <w:t>倡导环保公益理念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70</w:t>
      </w:r>
      <w:r>
        <w:rPr>
          <w:rFonts w:hint="eastAsia" w:ascii="宋体" w:hAnsi="宋体"/>
          <w:b/>
          <w:szCs w:val="28"/>
        </w:rPr>
        <w:t>：构建绿色文化</w:t>
      </w:r>
    </w:p>
    <w:p>
      <w:pPr>
        <w:ind w:firstLine="560"/>
      </w:pPr>
      <w:r>
        <w:rPr>
          <w:rFonts w:hint="eastAsia"/>
        </w:rPr>
        <w:t>组织员工参加的环保培训、宣传等活动的情况、典型案例及图片；绿色文化教材开发、宣传视频制定情况。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71</w:t>
      </w:r>
      <w:r>
        <w:rPr>
          <w:rFonts w:hint="eastAsia" w:ascii="宋体" w:hAnsi="宋体"/>
          <w:b/>
          <w:szCs w:val="28"/>
        </w:rPr>
        <w:t>：环保公益活动</w:t>
      </w:r>
    </w:p>
    <w:p>
      <w:pPr>
        <w:ind w:firstLine="560"/>
      </w:pPr>
      <w:r>
        <w:rPr>
          <w:rFonts w:hint="eastAsia"/>
        </w:rPr>
        <w:t>开展环保公益活动的相关情况、创新举措、典型案例及图片。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72</w:t>
      </w:r>
      <w:r>
        <w:rPr>
          <w:rFonts w:hint="eastAsia" w:ascii="宋体" w:hAnsi="宋体"/>
          <w:b/>
          <w:szCs w:val="28"/>
        </w:rPr>
        <w:t>：绿色金融培训</w:t>
      </w:r>
    </w:p>
    <w:p>
      <w:pPr>
        <w:ind w:firstLine="560"/>
      </w:pPr>
      <w:r>
        <w:rPr>
          <w:rFonts w:hint="eastAsia"/>
        </w:rPr>
        <w:t>面向内部员工和外部客户所开展的绿色金融知识（如绿色信贷）培训、宣介情况和典型案例。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 w:ascii="宋体" w:hAnsi="宋体"/>
          <w:szCs w:val="28"/>
        </w:rPr>
        <w:t>6.1建章建制，保障员工权益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73</w:t>
      </w:r>
      <w:r>
        <w:rPr>
          <w:rFonts w:hint="eastAsia" w:ascii="宋体" w:hAnsi="宋体"/>
          <w:b/>
          <w:szCs w:val="28"/>
        </w:rPr>
        <w:t>：员工权益保障整体情况</w:t>
      </w:r>
    </w:p>
    <w:p>
      <w:pPr>
        <w:ind w:firstLine="560"/>
      </w:pPr>
      <w:r>
        <w:rPr>
          <w:rFonts w:hint="eastAsia"/>
        </w:rPr>
        <w:t>员工权益保障相关的政策、制度、重点举措、典型案例及图片等。包括：在招聘、晋升等不因性别、民族等设置任何歧视条件；为员工提供合理的薪酬与福利保障等。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74</w:t>
      </w:r>
      <w:r>
        <w:rPr>
          <w:rFonts w:hint="eastAsia" w:ascii="宋体" w:hAnsi="宋体"/>
          <w:b/>
          <w:szCs w:val="28"/>
        </w:rPr>
        <w:t>：员工民主管理</w:t>
      </w:r>
    </w:p>
    <w:p>
      <w:pPr>
        <w:ind w:firstLine="560"/>
      </w:pPr>
      <w:r>
        <w:rPr>
          <w:rFonts w:hint="eastAsia"/>
        </w:rPr>
        <w:t>在工会建设、职代会工作等方面开展民主参与、民主决策、民主监督的工作情况及其成效（包括行务公开工作推进情况）；员工沟通（投诉）机制建设、投诉解决情况、员工意见融入运营等方面的情况和典型案例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75</w:t>
      </w:r>
      <w:r>
        <w:rPr>
          <w:rFonts w:hint="eastAsia" w:ascii="宋体" w:hAnsi="宋体"/>
          <w:b/>
          <w:szCs w:val="28"/>
        </w:rPr>
        <w:t>：女员工特殊权益保护</w:t>
      </w:r>
    </w:p>
    <w:p>
      <w:pPr>
        <w:ind w:firstLine="560"/>
      </w:pPr>
      <w:r>
        <w:rPr>
          <w:rFonts w:hint="eastAsia"/>
        </w:rPr>
        <w:t>女员工特殊权益保护的理念政策、具体举措、典型案例及其图片。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76</w:t>
      </w:r>
      <w:r>
        <w:rPr>
          <w:rFonts w:hint="eastAsia" w:ascii="宋体" w:hAnsi="宋体"/>
          <w:b/>
          <w:szCs w:val="28"/>
        </w:rPr>
        <w:t>：员工满意度调查</w:t>
      </w:r>
    </w:p>
    <w:p>
      <w:pPr>
        <w:ind w:firstLine="560"/>
      </w:pPr>
      <w:r>
        <w:rPr>
          <w:rFonts w:hint="eastAsia"/>
        </w:rPr>
        <w:t>开展员工满意度调查的具体信息、调查结果（满意度数据）及员工感言。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6.2激发活力，促进职工发展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77</w:t>
      </w:r>
      <w:r>
        <w:rPr>
          <w:rFonts w:hint="eastAsia" w:ascii="宋体" w:hAnsi="宋体"/>
          <w:b/>
          <w:szCs w:val="28"/>
        </w:rPr>
        <w:t>：员工职业通道建设</w:t>
      </w:r>
    </w:p>
    <w:p>
      <w:pPr>
        <w:ind w:firstLine="560"/>
      </w:pPr>
      <w:r>
        <w:rPr>
          <w:rFonts w:hint="eastAsia"/>
        </w:rPr>
        <w:t>促进员工发展的理念政策，营造公平竞争的员工晋升发展通道，通过轮岗及导师制等措施提升员工发展潜力，以及开展员工职业发展规划的政策制度、重点举措、典型案例及图片。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78</w:t>
      </w:r>
      <w:r>
        <w:rPr>
          <w:rFonts w:hint="eastAsia" w:ascii="宋体" w:hAnsi="宋体"/>
          <w:b/>
          <w:szCs w:val="28"/>
        </w:rPr>
        <w:t>：员工激励约束机制</w:t>
      </w:r>
    </w:p>
    <w:p>
      <w:pPr>
        <w:ind w:firstLine="560"/>
      </w:pPr>
      <w:r>
        <w:rPr>
          <w:rFonts w:hint="eastAsia"/>
        </w:rPr>
        <w:t>强化绩效考核的战略导向作用，绩效管理体系与激励约束体系的建设的最新情况及其成效。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79</w:t>
      </w:r>
      <w:r>
        <w:rPr>
          <w:rFonts w:hint="eastAsia" w:ascii="宋体" w:hAnsi="宋体"/>
          <w:b/>
          <w:szCs w:val="28"/>
        </w:rPr>
        <w:t>：员工培训体系建设</w:t>
      </w:r>
    </w:p>
    <w:p>
      <w:pPr>
        <w:ind w:firstLine="560"/>
      </w:pPr>
      <w:r>
        <w:rPr>
          <w:rFonts w:hint="eastAsia"/>
        </w:rPr>
        <w:t>加强员工培训的理念政策、（师资等）资源保障、制度举措、培训项目、典型案例及其图片。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80</w:t>
      </w:r>
      <w:r>
        <w:rPr>
          <w:rFonts w:hint="eastAsia" w:ascii="宋体" w:hAnsi="宋体"/>
          <w:b/>
          <w:szCs w:val="28"/>
        </w:rPr>
        <w:t>：员工培训组织实施</w:t>
      </w:r>
    </w:p>
    <w:p>
      <w:pPr>
        <w:ind w:firstLine="560"/>
      </w:pPr>
      <w:r>
        <w:rPr>
          <w:rFonts w:hint="eastAsia"/>
        </w:rPr>
        <w:t>员工培训组织实施的具体情况，加强素质培养、员工培训（特色/主题培训）、业务竞赛等。包括：特色/主题培训活动开展情况，推行远程培训情况，以及员工对培训的满意度。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6.3真诚关爱，丰富员工生活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81</w:t>
      </w:r>
      <w:r>
        <w:rPr>
          <w:rFonts w:hint="eastAsia" w:ascii="宋体" w:hAnsi="宋体"/>
          <w:b/>
          <w:szCs w:val="28"/>
        </w:rPr>
        <w:t>：组织员工文体活动</w:t>
      </w:r>
    </w:p>
    <w:p>
      <w:pPr>
        <w:ind w:firstLine="560"/>
      </w:pPr>
      <w:r>
        <w:rPr>
          <w:rFonts w:hint="eastAsia"/>
        </w:rPr>
        <w:t>开展员工文体活动的工作情况、典型案例及其图片。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82</w:t>
      </w:r>
      <w:r>
        <w:rPr>
          <w:rFonts w:hint="eastAsia" w:ascii="宋体" w:hAnsi="宋体"/>
          <w:b/>
          <w:szCs w:val="28"/>
        </w:rPr>
        <w:t>：员工身心健康关爱</w:t>
      </w:r>
    </w:p>
    <w:p>
      <w:pPr>
        <w:ind w:firstLine="560"/>
      </w:pPr>
      <w:r>
        <w:rPr>
          <w:rFonts w:hint="eastAsia"/>
        </w:rPr>
        <w:t>开展员工健康体检、心理健康咨询等关爱活动的文字简介、典型案例及图片。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83</w:t>
      </w:r>
      <w:r>
        <w:rPr>
          <w:rFonts w:hint="eastAsia" w:ascii="宋体" w:hAnsi="宋体"/>
          <w:b/>
          <w:szCs w:val="28"/>
        </w:rPr>
        <w:t>：员工工作生活平衡</w:t>
      </w:r>
    </w:p>
    <w:p>
      <w:pPr>
        <w:ind w:firstLine="560"/>
      </w:pPr>
      <w:r>
        <w:rPr>
          <w:rFonts w:hint="eastAsia"/>
        </w:rPr>
        <w:t>促进员工工作生活平衡的举措、典型案例及其图片（如弹性工作制、员工支持计划等）。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84</w:t>
      </w:r>
      <w:r>
        <w:rPr>
          <w:rFonts w:hint="eastAsia" w:ascii="宋体" w:hAnsi="宋体"/>
          <w:b/>
          <w:szCs w:val="28"/>
        </w:rPr>
        <w:t>：员工帮扶情况</w:t>
      </w:r>
    </w:p>
    <w:p>
      <w:pPr>
        <w:ind w:firstLine="560"/>
      </w:pPr>
      <w:r>
        <w:rPr>
          <w:rFonts w:hint="eastAsia"/>
        </w:rPr>
        <w:t>对受灾、重病及生活困难员工开展帮扶的机制、举措（如建立互助基金等</w:t>
      </w:r>
      <w:r>
        <w:rPr>
          <w:rFonts w:hint="eastAsia"/>
          <w:lang w:eastAsia="zh-CN"/>
        </w:rPr>
        <w:t>情</w:t>
      </w:r>
      <w:r>
        <w:rPr>
          <w:rFonts w:hint="eastAsia"/>
        </w:rPr>
        <w:t>况）、典型案例及图片；针对离退休员工的专项计划（如自办老年大学、开展文体活动等）。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ind w:firstLine="560"/>
      </w:pPr>
    </w:p>
    <w:p>
      <w:pPr>
        <w:pStyle w:val="2"/>
        <w:spacing w:before="156" w:after="156"/>
      </w:pPr>
      <w:r>
        <w:t>7.1</w:t>
      </w:r>
      <w:r>
        <w:rPr>
          <w:rFonts w:hint="eastAsia"/>
        </w:rPr>
        <w:t>普及金融知识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85</w:t>
      </w:r>
      <w:r>
        <w:rPr>
          <w:rFonts w:hint="eastAsia" w:ascii="宋体" w:hAnsi="宋体"/>
          <w:b/>
          <w:szCs w:val="28"/>
        </w:rPr>
        <w:t>：普及公众金融教育</w:t>
      </w:r>
    </w:p>
    <w:p>
      <w:pPr>
        <w:ind w:firstLine="560"/>
      </w:pPr>
      <w:r>
        <w:rPr>
          <w:rFonts w:hint="eastAsia"/>
        </w:rPr>
        <w:t>向社会大众主动普及金融知识的重点、相关举措和成效，典型案例及图片。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7.2践行公益慈善理念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86</w:t>
      </w:r>
      <w:r>
        <w:rPr>
          <w:rFonts w:hint="eastAsia" w:ascii="宋体" w:hAnsi="宋体"/>
          <w:b/>
          <w:szCs w:val="28"/>
        </w:rPr>
        <w:t>：公益慈善总体情况</w:t>
      </w:r>
    </w:p>
    <w:p>
      <w:pPr>
        <w:ind w:firstLine="560"/>
      </w:pPr>
      <w:r>
        <w:rPr>
          <w:rFonts w:hint="eastAsia"/>
        </w:rPr>
        <w:t>介绍本单位的统筹公益慈善活动的组织体系、管理制度，以及公益品牌建设情况、典型案例及图片。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87</w:t>
      </w:r>
      <w:r>
        <w:rPr>
          <w:rFonts w:hint="eastAsia" w:ascii="宋体" w:hAnsi="宋体"/>
          <w:b/>
          <w:szCs w:val="28"/>
        </w:rPr>
        <w:t>：社会公益项目</w:t>
      </w:r>
    </w:p>
    <w:p>
      <w:pPr>
        <w:ind w:firstLine="560"/>
      </w:pPr>
      <w:r>
        <w:rPr>
          <w:rFonts w:hint="eastAsia"/>
        </w:rPr>
        <w:t>开展或参与的社会公益项目，包括项目简介、当年重大进展与成效、受助人群或合作伙伴的感言、典型案例、图片等。公益项目包括但不限于以下领域：教育、医疗、艺术与文化、体育等。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88</w:t>
      </w:r>
      <w:r>
        <w:rPr>
          <w:rFonts w:hint="eastAsia" w:ascii="宋体" w:hAnsi="宋体"/>
          <w:b/>
          <w:szCs w:val="28"/>
        </w:rPr>
        <w:t>：帮扶困难群体</w:t>
      </w:r>
    </w:p>
    <w:p>
      <w:pPr>
        <w:ind w:firstLine="560"/>
      </w:pPr>
      <w:r>
        <w:rPr>
          <w:rFonts w:hint="eastAsia"/>
        </w:rPr>
        <w:t>在关爱帮扶儿童、中老年等弱势群体等方面开展的公共服务、典型案例、受助人群感言、图片等。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7.</w:t>
      </w:r>
      <w:r>
        <w:t>3</w:t>
      </w:r>
      <w:r>
        <w:rPr>
          <w:rFonts w:hint="eastAsia"/>
        </w:rPr>
        <w:t>倡导志愿</w:t>
      </w:r>
      <w:r>
        <w:rPr>
          <w:rFonts w:hint="eastAsia"/>
          <w:lang w:eastAsia="zh-CN"/>
        </w:rPr>
        <w:t>者</w:t>
      </w:r>
      <w:r>
        <w:rPr>
          <w:rFonts w:hint="eastAsia"/>
        </w:rPr>
        <w:t>服务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89</w:t>
      </w:r>
      <w:r>
        <w:rPr>
          <w:rFonts w:hint="eastAsia" w:ascii="宋体" w:hAnsi="宋体"/>
          <w:b/>
          <w:szCs w:val="28"/>
        </w:rPr>
        <w:t>：志愿者活动长效机制</w:t>
      </w:r>
    </w:p>
    <w:p>
      <w:pPr>
        <w:ind w:firstLine="560"/>
      </w:pPr>
      <w:r>
        <w:rPr>
          <w:rFonts w:hint="eastAsia"/>
        </w:rPr>
        <w:t>志愿者活动的长效机制，包括：建立志愿者协会/团队、志愿者管理平台、志愿服务的激励认可机制等。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90</w:t>
      </w:r>
      <w:r>
        <w:rPr>
          <w:rFonts w:hint="eastAsia" w:ascii="宋体" w:hAnsi="宋体"/>
          <w:b/>
          <w:szCs w:val="28"/>
        </w:rPr>
        <w:t>：员工志愿者活动</w:t>
      </w:r>
    </w:p>
    <w:p>
      <w:pPr>
        <w:ind w:firstLine="560"/>
      </w:pPr>
      <w:r>
        <w:rPr>
          <w:rFonts w:hint="eastAsia"/>
        </w:rPr>
        <w:t>员工志愿者活动的整体情况、典型案例、受助人群或合作伙伴的感言及图片。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ind w:firstLine="560"/>
      </w:pPr>
    </w:p>
    <w:p>
      <w:pPr>
        <w:pStyle w:val="2"/>
        <w:spacing w:before="156" w:after="156"/>
      </w:pPr>
      <w:r>
        <w:rPr>
          <w:rFonts w:hint="eastAsia"/>
        </w:rPr>
        <w:t>专题：培育责任文化，引领责任实践</w:t>
      </w: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91</w:t>
      </w:r>
      <w:r>
        <w:rPr>
          <w:rFonts w:hint="eastAsia" w:ascii="宋体" w:hAnsi="宋体"/>
          <w:b/>
          <w:szCs w:val="28"/>
        </w:rPr>
        <w:t>：社会责任理念</w:t>
      </w:r>
    </w:p>
    <w:p>
      <w:pPr>
        <w:ind w:firstLine="560"/>
        <w:rPr>
          <w:rFonts w:hint="eastAsia"/>
        </w:rPr>
      </w:pPr>
      <w:r>
        <w:rPr>
          <w:rFonts w:hint="eastAsia"/>
        </w:rPr>
        <w:t>是否制定明确的社会责任（可持续发展）理念或模型？</w:t>
      </w:r>
    </w:p>
    <w:p>
      <w:pPr>
        <w:ind w:firstLine="560"/>
      </w:pPr>
      <w:r>
        <w:rPr>
          <w:rFonts w:hint="eastAsia"/>
        </w:rPr>
        <w:t>若是，请提供社会责任理念的文字表述、模型图等以及向内外部宣传其社会责任理念的主要做法。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92</w:t>
      </w:r>
      <w:r>
        <w:rPr>
          <w:rFonts w:hint="eastAsia" w:ascii="宋体" w:hAnsi="宋体"/>
          <w:b/>
          <w:szCs w:val="28"/>
        </w:rPr>
        <w:t>：完善责任管理</w:t>
      </w:r>
    </w:p>
    <w:p>
      <w:pPr>
        <w:ind w:firstLine="560"/>
      </w:pPr>
      <w:r>
        <w:rPr>
          <w:rFonts w:hint="eastAsia"/>
        </w:rPr>
        <w:t>是否开展或参与社会责任专项培训？</w:t>
      </w:r>
    </w:p>
    <w:p>
      <w:pPr>
        <w:ind w:firstLine="560"/>
      </w:pPr>
      <w:r>
        <w:rPr>
          <w:rFonts w:hint="eastAsia"/>
        </w:rPr>
        <w:t>若是，请提供社会责任培训的整体情况列表，包括培训主题、培训对象、培训人次、培训时间和现场图片等。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指标</w:t>
      </w:r>
      <w:r>
        <w:rPr>
          <w:rFonts w:ascii="宋体" w:hAnsi="宋体"/>
          <w:b/>
          <w:szCs w:val="28"/>
        </w:rPr>
        <w:t>93</w:t>
      </w:r>
      <w:r>
        <w:rPr>
          <w:rFonts w:hint="eastAsia" w:ascii="宋体" w:hAnsi="宋体"/>
          <w:b/>
          <w:szCs w:val="28"/>
        </w:rPr>
        <w:t>：优化信息沟通</w:t>
      </w:r>
    </w:p>
    <w:p>
      <w:pPr>
        <w:ind w:firstLine="560"/>
      </w:pPr>
      <w:r>
        <w:rPr>
          <w:rFonts w:hint="eastAsia"/>
        </w:rPr>
        <w:t>是否定期发布社会责任报告？</w:t>
      </w:r>
    </w:p>
    <w:p>
      <w:pPr>
        <w:ind w:firstLine="560"/>
        <w:rPr>
          <w:rFonts w:hint="eastAsia"/>
        </w:rPr>
      </w:pPr>
      <w:r>
        <w:rPr>
          <w:rFonts w:hint="eastAsia"/>
        </w:rPr>
        <w:t>若是，请介绍报告发布的起始年份，报告采用的报告编制标准和主要内容等情况(适用于法人机构）。</w:t>
      </w:r>
    </w:p>
    <w:p>
      <w:pPr>
        <w:ind w:firstLine="560"/>
      </w:pPr>
      <w:r>
        <w:rPr>
          <w:rFonts w:hint="eastAsia"/>
        </w:rPr>
        <w:t>是否开设社会责任网站或专栏？</w:t>
      </w:r>
    </w:p>
    <w:p>
      <w:pPr>
        <w:ind w:firstLine="560"/>
      </w:pPr>
      <w:r>
        <w:rPr>
          <w:rFonts w:hint="eastAsia"/>
        </w:rPr>
        <w:t>若是，请提供网站的链接，以及网站访问数量等。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ind w:firstLine="560"/>
        <w:rPr>
          <w:rFonts w:hint="eastAsia"/>
        </w:rPr>
      </w:pPr>
    </w:p>
    <w:p>
      <w:pPr>
        <w:spacing w:line="360" w:lineRule="auto"/>
        <w:ind w:firstLine="562"/>
        <w:outlineLvl w:val="3"/>
        <w:rPr>
          <w:rFonts w:ascii="宋体" w:hAnsi="宋体"/>
          <w:b/>
          <w:szCs w:val="28"/>
        </w:rPr>
      </w:pPr>
      <w:r>
        <w:rPr>
          <w:rFonts w:hint="eastAsia" w:ascii="宋体" w:hAnsi="宋体"/>
          <w:b/>
          <w:szCs w:val="28"/>
        </w:rPr>
        <w:t>其他重要补充资料</w:t>
      </w:r>
    </w:p>
    <w:p>
      <w:pPr>
        <w:ind w:firstLine="560"/>
      </w:pPr>
      <w:r>
        <w:rPr>
          <w:rFonts w:hint="eastAsia"/>
          <w:lang w:eastAsia="zh-CN"/>
        </w:rPr>
        <w:t>你</w:t>
      </w:r>
      <w:r>
        <w:rPr>
          <w:rFonts w:hint="eastAsia"/>
        </w:rPr>
        <w:t>单位</w:t>
      </w:r>
      <w:bookmarkStart w:id="1" w:name="_GoBack"/>
      <w:bookmarkEnd w:id="1"/>
      <w:r>
        <w:rPr>
          <w:rFonts w:hint="eastAsia"/>
        </w:rPr>
        <w:t>认为其他可反映2</w:t>
      </w:r>
      <w:r>
        <w:t>020</w:t>
      </w:r>
      <w:r>
        <w:rPr>
          <w:rFonts w:hint="eastAsia"/>
        </w:rPr>
        <w:t>年度社会责任实践或新冠疫情期间的责任举措，可在以下框格中补充相关文字材料。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auto"/>
          </w:tcPr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  <w:p>
            <w:pPr>
              <w:ind w:firstLine="0" w:firstLineChars="0"/>
            </w:pPr>
          </w:p>
        </w:tc>
      </w:tr>
    </w:tbl>
    <w:p>
      <w:pPr>
        <w:ind w:firstLine="560"/>
      </w:pPr>
    </w:p>
    <w:p>
      <w:pPr>
        <w:widowControl/>
        <w:adjustRightInd/>
        <w:snapToGrid/>
        <w:spacing w:line="240" w:lineRule="auto"/>
        <w:ind w:firstLine="0" w:firstLineChars="0"/>
        <w:jc w:val="left"/>
        <w:rPr>
          <w:kern w:val="0"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3tTQxNjA0NDE3NbNU0lEKTi0uzszPAykwrQUA4GR//iwAAAA="/>
  </w:docVars>
  <w:rsids>
    <w:rsidRoot w:val="00687DA8"/>
    <w:rsid w:val="00003CF0"/>
    <w:rsid w:val="00004D1B"/>
    <w:rsid w:val="0000505F"/>
    <w:rsid w:val="000054B8"/>
    <w:rsid w:val="0001483F"/>
    <w:rsid w:val="000215E1"/>
    <w:rsid w:val="000219B8"/>
    <w:rsid w:val="00023A49"/>
    <w:rsid w:val="0002596F"/>
    <w:rsid w:val="000364CE"/>
    <w:rsid w:val="00062759"/>
    <w:rsid w:val="000658EE"/>
    <w:rsid w:val="00072417"/>
    <w:rsid w:val="00074618"/>
    <w:rsid w:val="0007503F"/>
    <w:rsid w:val="00076FA3"/>
    <w:rsid w:val="0008479D"/>
    <w:rsid w:val="000874EF"/>
    <w:rsid w:val="00094411"/>
    <w:rsid w:val="000A0B97"/>
    <w:rsid w:val="000B089C"/>
    <w:rsid w:val="000B3DDE"/>
    <w:rsid w:val="000B4872"/>
    <w:rsid w:val="000B7D75"/>
    <w:rsid w:val="000C3DD5"/>
    <w:rsid w:val="000C4811"/>
    <w:rsid w:val="000C52B3"/>
    <w:rsid w:val="000C7200"/>
    <w:rsid w:val="000D13F0"/>
    <w:rsid w:val="000D52E9"/>
    <w:rsid w:val="000F1DF7"/>
    <w:rsid w:val="000F2FF6"/>
    <w:rsid w:val="000F31EF"/>
    <w:rsid w:val="001020A7"/>
    <w:rsid w:val="00103B19"/>
    <w:rsid w:val="0011103F"/>
    <w:rsid w:val="00113630"/>
    <w:rsid w:val="00115CB0"/>
    <w:rsid w:val="00124588"/>
    <w:rsid w:val="0013068B"/>
    <w:rsid w:val="00132CC9"/>
    <w:rsid w:val="00133D8E"/>
    <w:rsid w:val="0013590B"/>
    <w:rsid w:val="00141138"/>
    <w:rsid w:val="001454F6"/>
    <w:rsid w:val="00152524"/>
    <w:rsid w:val="001610A4"/>
    <w:rsid w:val="00161A56"/>
    <w:rsid w:val="00166ED5"/>
    <w:rsid w:val="00167D71"/>
    <w:rsid w:val="00175959"/>
    <w:rsid w:val="00175D5F"/>
    <w:rsid w:val="00181C62"/>
    <w:rsid w:val="001826E3"/>
    <w:rsid w:val="00183338"/>
    <w:rsid w:val="00183AB3"/>
    <w:rsid w:val="00185ACB"/>
    <w:rsid w:val="0018790A"/>
    <w:rsid w:val="0019032A"/>
    <w:rsid w:val="00191900"/>
    <w:rsid w:val="001954A2"/>
    <w:rsid w:val="001A1C75"/>
    <w:rsid w:val="001A42F8"/>
    <w:rsid w:val="001A695C"/>
    <w:rsid w:val="001C3A38"/>
    <w:rsid w:val="001D5D1B"/>
    <w:rsid w:val="001E07C4"/>
    <w:rsid w:val="001E0ADC"/>
    <w:rsid w:val="001E1C64"/>
    <w:rsid w:val="001E76F3"/>
    <w:rsid w:val="001F2C33"/>
    <w:rsid w:val="001F5327"/>
    <w:rsid w:val="00200251"/>
    <w:rsid w:val="002056E9"/>
    <w:rsid w:val="002110AF"/>
    <w:rsid w:val="002119B3"/>
    <w:rsid w:val="00214E2C"/>
    <w:rsid w:val="00216C31"/>
    <w:rsid w:val="00223DA8"/>
    <w:rsid w:val="0022627E"/>
    <w:rsid w:val="002268B4"/>
    <w:rsid w:val="00232BEE"/>
    <w:rsid w:val="00236DA0"/>
    <w:rsid w:val="00247D00"/>
    <w:rsid w:val="00250734"/>
    <w:rsid w:val="00263E37"/>
    <w:rsid w:val="002725E5"/>
    <w:rsid w:val="002752D4"/>
    <w:rsid w:val="00276820"/>
    <w:rsid w:val="00284BB4"/>
    <w:rsid w:val="00285757"/>
    <w:rsid w:val="002863DF"/>
    <w:rsid w:val="00294277"/>
    <w:rsid w:val="00294A48"/>
    <w:rsid w:val="002966EC"/>
    <w:rsid w:val="0029679D"/>
    <w:rsid w:val="002A1527"/>
    <w:rsid w:val="002A2F7E"/>
    <w:rsid w:val="002A596C"/>
    <w:rsid w:val="002A73E2"/>
    <w:rsid w:val="002B5D16"/>
    <w:rsid w:val="002B6EE6"/>
    <w:rsid w:val="002B7B8B"/>
    <w:rsid w:val="002B7CCE"/>
    <w:rsid w:val="002C113F"/>
    <w:rsid w:val="002E3374"/>
    <w:rsid w:val="002E56EC"/>
    <w:rsid w:val="002F05AD"/>
    <w:rsid w:val="002F64CF"/>
    <w:rsid w:val="002F65F3"/>
    <w:rsid w:val="002F7F90"/>
    <w:rsid w:val="00305772"/>
    <w:rsid w:val="0032040F"/>
    <w:rsid w:val="00322319"/>
    <w:rsid w:val="00322C86"/>
    <w:rsid w:val="00323DD1"/>
    <w:rsid w:val="00324565"/>
    <w:rsid w:val="00336C37"/>
    <w:rsid w:val="0034234F"/>
    <w:rsid w:val="00347986"/>
    <w:rsid w:val="0035363C"/>
    <w:rsid w:val="0036340C"/>
    <w:rsid w:val="00370C55"/>
    <w:rsid w:val="0038145D"/>
    <w:rsid w:val="00384188"/>
    <w:rsid w:val="00384E47"/>
    <w:rsid w:val="00392DC1"/>
    <w:rsid w:val="00394AAE"/>
    <w:rsid w:val="003A4A67"/>
    <w:rsid w:val="003A571A"/>
    <w:rsid w:val="003B696B"/>
    <w:rsid w:val="003B6E97"/>
    <w:rsid w:val="003B7CF8"/>
    <w:rsid w:val="003C0393"/>
    <w:rsid w:val="003C269F"/>
    <w:rsid w:val="003C556B"/>
    <w:rsid w:val="003C691F"/>
    <w:rsid w:val="003D4D2F"/>
    <w:rsid w:val="003E146F"/>
    <w:rsid w:val="003E1C47"/>
    <w:rsid w:val="003E529B"/>
    <w:rsid w:val="003E56C3"/>
    <w:rsid w:val="003E7035"/>
    <w:rsid w:val="003E7ABC"/>
    <w:rsid w:val="003F1A36"/>
    <w:rsid w:val="003F439F"/>
    <w:rsid w:val="003F45D3"/>
    <w:rsid w:val="003F5DE0"/>
    <w:rsid w:val="003F5E5E"/>
    <w:rsid w:val="003F62FE"/>
    <w:rsid w:val="003F6C21"/>
    <w:rsid w:val="004133D2"/>
    <w:rsid w:val="00417980"/>
    <w:rsid w:val="00422C72"/>
    <w:rsid w:val="00423342"/>
    <w:rsid w:val="00426766"/>
    <w:rsid w:val="00433DFE"/>
    <w:rsid w:val="00434250"/>
    <w:rsid w:val="004363F4"/>
    <w:rsid w:val="004414EB"/>
    <w:rsid w:val="004504BE"/>
    <w:rsid w:val="00455B2A"/>
    <w:rsid w:val="004602DE"/>
    <w:rsid w:val="00462BF9"/>
    <w:rsid w:val="004635D1"/>
    <w:rsid w:val="0046664A"/>
    <w:rsid w:val="004729CD"/>
    <w:rsid w:val="004740F3"/>
    <w:rsid w:val="00474D35"/>
    <w:rsid w:val="0048616B"/>
    <w:rsid w:val="004874D5"/>
    <w:rsid w:val="00487DBF"/>
    <w:rsid w:val="00490B43"/>
    <w:rsid w:val="00497E78"/>
    <w:rsid w:val="004B4E7B"/>
    <w:rsid w:val="004C2885"/>
    <w:rsid w:val="004C4B9E"/>
    <w:rsid w:val="004C5B50"/>
    <w:rsid w:val="004C62FC"/>
    <w:rsid w:val="004D7C65"/>
    <w:rsid w:val="004E30D8"/>
    <w:rsid w:val="004E584C"/>
    <w:rsid w:val="004E72D3"/>
    <w:rsid w:val="004F0B2E"/>
    <w:rsid w:val="005036B9"/>
    <w:rsid w:val="00505DF8"/>
    <w:rsid w:val="00526926"/>
    <w:rsid w:val="00530495"/>
    <w:rsid w:val="005369CC"/>
    <w:rsid w:val="005373B2"/>
    <w:rsid w:val="0054507E"/>
    <w:rsid w:val="005531F0"/>
    <w:rsid w:val="0055386C"/>
    <w:rsid w:val="00553BB6"/>
    <w:rsid w:val="00555311"/>
    <w:rsid w:val="00556163"/>
    <w:rsid w:val="00565AC9"/>
    <w:rsid w:val="00571D51"/>
    <w:rsid w:val="00577CA2"/>
    <w:rsid w:val="00585059"/>
    <w:rsid w:val="00585430"/>
    <w:rsid w:val="0059412E"/>
    <w:rsid w:val="00595FD7"/>
    <w:rsid w:val="005A323A"/>
    <w:rsid w:val="005A46BC"/>
    <w:rsid w:val="005A7960"/>
    <w:rsid w:val="005B670D"/>
    <w:rsid w:val="005C0596"/>
    <w:rsid w:val="005C3293"/>
    <w:rsid w:val="005C37F3"/>
    <w:rsid w:val="005C5E18"/>
    <w:rsid w:val="005C619D"/>
    <w:rsid w:val="005F3C24"/>
    <w:rsid w:val="005F5019"/>
    <w:rsid w:val="005F5ECC"/>
    <w:rsid w:val="005F6F25"/>
    <w:rsid w:val="00600A3D"/>
    <w:rsid w:val="00602748"/>
    <w:rsid w:val="00604429"/>
    <w:rsid w:val="00605797"/>
    <w:rsid w:val="0060640E"/>
    <w:rsid w:val="00611EC8"/>
    <w:rsid w:val="00612454"/>
    <w:rsid w:val="006130E3"/>
    <w:rsid w:val="0061377A"/>
    <w:rsid w:val="00616746"/>
    <w:rsid w:val="00617938"/>
    <w:rsid w:val="00625ABB"/>
    <w:rsid w:val="00627B92"/>
    <w:rsid w:val="00631F67"/>
    <w:rsid w:val="006342A7"/>
    <w:rsid w:val="006358FB"/>
    <w:rsid w:val="00642D97"/>
    <w:rsid w:val="00647B70"/>
    <w:rsid w:val="0065126A"/>
    <w:rsid w:val="006512CE"/>
    <w:rsid w:val="00655CB0"/>
    <w:rsid w:val="00663B8B"/>
    <w:rsid w:val="00665E24"/>
    <w:rsid w:val="00666954"/>
    <w:rsid w:val="00670862"/>
    <w:rsid w:val="00673745"/>
    <w:rsid w:val="006808F4"/>
    <w:rsid w:val="00681BAD"/>
    <w:rsid w:val="0068205B"/>
    <w:rsid w:val="006840EA"/>
    <w:rsid w:val="00687DA8"/>
    <w:rsid w:val="00697744"/>
    <w:rsid w:val="006A1DE3"/>
    <w:rsid w:val="006A5C10"/>
    <w:rsid w:val="006B3102"/>
    <w:rsid w:val="006B3E12"/>
    <w:rsid w:val="006B5805"/>
    <w:rsid w:val="006D093B"/>
    <w:rsid w:val="006D3761"/>
    <w:rsid w:val="006D4DDD"/>
    <w:rsid w:val="006D7156"/>
    <w:rsid w:val="006D7ED2"/>
    <w:rsid w:val="006E06C5"/>
    <w:rsid w:val="006E1CD7"/>
    <w:rsid w:val="006E5132"/>
    <w:rsid w:val="006F087E"/>
    <w:rsid w:val="006F0B6B"/>
    <w:rsid w:val="006F2E35"/>
    <w:rsid w:val="006F3B71"/>
    <w:rsid w:val="006F53E9"/>
    <w:rsid w:val="006F60A4"/>
    <w:rsid w:val="006F6921"/>
    <w:rsid w:val="006F6E57"/>
    <w:rsid w:val="007004ED"/>
    <w:rsid w:val="00702CDD"/>
    <w:rsid w:val="00704558"/>
    <w:rsid w:val="00705FC0"/>
    <w:rsid w:val="00712381"/>
    <w:rsid w:val="00715A0B"/>
    <w:rsid w:val="00717D77"/>
    <w:rsid w:val="00717DDF"/>
    <w:rsid w:val="00725EE5"/>
    <w:rsid w:val="00733D0F"/>
    <w:rsid w:val="00735E88"/>
    <w:rsid w:val="00745D2C"/>
    <w:rsid w:val="00745D35"/>
    <w:rsid w:val="007608B4"/>
    <w:rsid w:val="00761CF0"/>
    <w:rsid w:val="0076603F"/>
    <w:rsid w:val="00766797"/>
    <w:rsid w:val="007714F3"/>
    <w:rsid w:val="00772BBF"/>
    <w:rsid w:val="00774C80"/>
    <w:rsid w:val="00781C8F"/>
    <w:rsid w:val="00782A25"/>
    <w:rsid w:val="0078582F"/>
    <w:rsid w:val="00787A31"/>
    <w:rsid w:val="007A0AE4"/>
    <w:rsid w:val="007A3861"/>
    <w:rsid w:val="007B3426"/>
    <w:rsid w:val="007B51DD"/>
    <w:rsid w:val="007B6DF6"/>
    <w:rsid w:val="007C1B0D"/>
    <w:rsid w:val="007C61AB"/>
    <w:rsid w:val="007D14E9"/>
    <w:rsid w:val="007D55D1"/>
    <w:rsid w:val="007E204D"/>
    <w:rsid w:val="007E46CA"/>
    <w:rsid w:val="007F0610"/>
    <w:rsid w:val="007F1326"/>
    <w:rsid w:val="007F571B"/>
    <w:rsid w:val="007F62F9"/>
    <w:rsid w:val="007F7178"/>
    <w:rsid w:val="00805ADE"/>
    <w:rsid w:val="00813E20"/>
    <w:rsid w:val="00815E7F"/>
    <w:rsid w:val="008224B9"/>
    <w:rsid w:val="00824A65"/>
    <w:rsid w:val="0082545E"/>
    <w:rsid w:val="00825481"/>
    <w:rsid w:val="00830BDC"/>
    <w:rsid w:val="00832129"/>
    <w:rsid w:val="008378E0"/>
    <w:rsid w:val="00843940"/>
    <w:rsid w:val="00846B06"/>
    <w:rsid w:val="0085709A"/>
    <w:rsid w:val="008606C7"/>
    <w:rsid w:val="00866A65"/>
    <w:rsid w:val="0087392E"/>
    <w:rsid w:val="00873B27"/>
    <w:rsid w:val="00891D33"/>
    <w:rsid w:val="008A0905"/>
    <w:rsid w:val="008A55FC"/>
    <w:rsid w:val="008A617D"/>
    <w:rsid w:val="008B1159"/>
    <w:rsid w:val="008B47C2"/>
    <w:rsid w:val="008B7C26"/>
    <w:rsid w:val="008C036B"/>
    <w:rsid w:val="008C2D66"/>
    <w:rsid w:val="008C4C2A"/>
    <w:rsid w:val="008C5491"/>
    <w:rsid w:val="008C6703"/>
    <w:rsid w:val="008C7D19"/>
    <w:rsid w:val="008D0631"/>
    <w:rsid w:val="008D4543"/>
    <w:rsid w:val="008D5786"/>
    <w:rsid w:val="008E4DED"/>
    <w:rsid w:val="008F0083"/>
    <w:rsid w:val="008F1E3D"/>
    <w:rsid w:val="008F1FDA"/>
    <w:rsid w:val="00903945"/>
    <w:rsid w:val="009059E3"/>
    <w:rsid w:val="009063FD"/>
    <w:rsid w:val="00907B27"/>
    <w:rsid w:val="00907DA7"/>
    <w:rsid w:val="009143AA"/>
    <w:rsid w:val="00914B1A"/>
    <w:rsid w:val="009150B4"/>
    <w:rsid w:val="00917998"/>
    <w:rsid w:val="00926F76"/>
    <w:rsid w:val="00927611"/>
    <w:rsid w:val="00930956"/>
    <w:rsid w:val="00935818"/>
    <w:rsid w:val="00936CDF"/>
    <w:rsid w:val="00940AE2"/>
    <w:rsid w:val="0094583F"/>
    <w:rsid w:val="00952125"/>
    <w:rsid w:val="00955EFB"/>
    <w:rsid w:val="009610DA"/>
    <w:rsid w:val="0096283B"/>
    <w:rsid w:val="00966165"/>
    <w:rsid w:val="00967FEF"/>
    <w:rsid w:val="00972B1C"/>
    <w:rsid w:val="009759F0"/>
    <w:rsid w:val="009B1142"/>
    <w:rsid w:val="009B2367"/>
    <w:rsid w:val="009B3A1B"/>
    <w:rsid w:val="009B3B42"/>
    <w:rsid w:val="009B7DBF"/>
    <w:rsid w:val="009C3750"/>
    <w:rsid w:val="009C69E4"/>
    <w:rsid w:val="009C6FC1"/>
    <w:rsid w:val="009E2E66"/>
    <w:rsid w:val="009E2F5B"/>
    <w:rsid w:val="009F67C0"/>
    <w:rsid w:val="009F6EB9"/>
    <w:rsid w:val="00A11959"/>
    <w:rsid w:val="00A14137"/>
    <w:rsid w:val="00A23B0D"/>
    <w:rsid w:val="00A36767"/>
    <w:rsid w:val="00A518D9"/>
    <w:rsid w:val="00A54074"/>
    <w:rsid w:val="00A56617"/>
    <w:rsid w:val="00A636B3"/>
    <w:rsid w:val="00A63B6D"/>
    <w:rsid w:val="00A6570F"/>
    <w:rsid w:val="00A81010"/>
    <w:rsid w:val="00A916F9"/>
    <w:rsid w:val="00A9194C"/>
    <w:rsid w:val="00A95C4B"/>
    <w:rsid w:val="00AA12B6"/>
    <w:rsid w:val="00AA6FB4"/>
    <w:rsid w:val="00AB19D0"/>
    <w:rsid w:val="00AB1D83"/>
    <w:rsid w:val="00AB25D7"/>
    <w:rsid w:val="00AB633C"/>
    <w:rsid w:val="00AD17CF"/>
    <w:rsid w:val="00AD51E5"/>
    <w:rsid w:val="00AE106F"/>
    <w:rsid w:val="00AE53B2"/>
    <w:rsid w:val="00AF7F9B"/>
    <w:rsid w:val="00B00A10"/>
    <w:rsid w:val="00B02C8B"/>
    <w:rsid w:val="00B03B37"/>
    <w:rsid w:val="00B0696F"/>
    <w:rsid w:val="00B0743D"/>
    <w:rsid w:val="00B07C98"/>
    <w:rsid w:val="00B1052B"/>
    <w:rsid w:val="00B119BF"/>
    <w:rsid w:val="00B171E3"/>
    <w:rsid w:val="00B235EB"/>
    <w:rsid w:val="00B240EB"/>
    <w:rsid w:val="00B31166"/>
    <w:rsid w:val="00B4581A"/>
    <w:rsid w:val="00B473C6"/>
    <w:rsid w:val="00B51BC6"/>
    <w:rsid w:val="00B53065"/>
    <w:rsid w:val="00B54A50"/>
    <w:rsid w:val="00B71910"/>
    <w:rsid w:val="00B72D37"/>
    <w:rsid w:val="00B76B4D"/>
    <w:rsid w:val="00B8268F"/>
    <w:rsid w:val="00B82959"/>
    <w:rsid w:val="00B90F38"/>
    <w:rsid w:val="00B93BF2"/>
    <w:rsid w:val="00B949C8"/>
    <w:rsid w:val="00B961CE"/>
    <w:rsid w:val="00BA7341"/>
    <w:rsid w:val="00BA7960"/>
    <w:rsid w:val="00BB3212"/>
    <w:rsid w:val="00BB4BD8"/>
    <w:rsid w:val="00BB6A10"/>
    <w:rsid w:val="00BC0ACD"/>
    <w:rsid w:val="00BC2C5A"/>
    <w:rsid w:val="00BC30DB"/>
    <w:rsid w:val="00BC32BC"/>
    <w:rsid w:val="00BC4B13"/>
    <w:rsid w:val="00BC6A93"/>
    <w:rsid w:val="00BC7228"/>
    <w:rsid w:val="00BD16C2"/>
    <w:rsid w:val="00BD2AD3"/>
    <w:rsid w:val="00BD635F"/>
    <w:rsid w:val="00BE30E5"/>
    <w:rsid w:val="00BE391D"/>
    <w:rsid w:val="00BE4D51"/>
    <w:rsid w:val="00BF32B0"/>
    <w:rsid w:val="00C013BA"/>
    <w:rsid w:val="00C01D63"/>
    <w:rsid w:val="00C03128"/>
    <w:rsid w:val="00C0341A"/>
    <w:rsid w:val="00C03CBD"/>
    <w:rsid w:val="00C04224"/>
    <w:rsid w:val="00C13DA6"/>
    <w:rsid w:val="00C21170"/>
    <w:rsid w:val="00C25464"/>
    <w:rsid w:val="00C30FF4"/>
    <w:rsid w:val="00C318BE"/>
    <w:rsid w:val="00C32E7F"/>
    <w:rsid w:val="00C33202"/>
    <w:rsid w:val="00C34FF1"/>
    <w:rsid w:val="00C35B80"/>
    <w:rsid w:val="00C365F2"/>
    <w:rsid w:val="00C40520"/>
    <w:rsid w:val="00C40946"/>
    <w:rsid w:val="00C40EC5"/>
    <w:rsid w:val="00C442E1"/>
    <w:rsid w:val="00C45FA9"/>
    <w:rsid w:val="00C4624C"/>
    <w:rsid w:val="00C47350"/>
    <w:rsid w:val="00C51060"/>
    <w:rsid w:val="00C529CB"/>
    <w:rsid w:val="00C61A75"/>
    <w:rsid w:val="00C67233"/>
    <w:rsid w:val="00C72DE7"/>
    <w:rsid w:val="00C779B5"/>
    <w:rsid w:val="00C835B6"/>
    <w:rsid w:val="00C85055"/>
    <w:rsid w:val="00C86AFB"/>
    <w:rsid w:val="00C90A48"/>
    <w:rsid w:val="00C914ED"/>
    <w:rsid w:val="00C93407"/>
    <w:rsid w:val="00C95533"/>
    <w:rsid w:val="00C95DD1"/>
    <w:rsid w:val="00C96856"/>
    <w:rsid w:val="00C973F7"/>
    <w:rsid w:val="00CA6FD1"/>
    <w:rsid w:val="00CB2B28"/>
    <w:rsid w:val="00CB39E2"/>
    <w:rsid w:val="00CC1554"/>
    <w:rsid w:val="00CC1A82"/>
    <w:rsid w:val="00CC2082"/>
    <w:rsid w:val="00CC3E09"/>
    <w:rsid w:val="00CD1D51"/>
    <w:rsid w:val="00CD21F3"/>
    <w:rsid w:val="00CD29AF"/>
    <w:rsid w:val="00CD709D"/>
    <w:rsid w:val="00CD7337"/>
    <w:rsid w:val="00CE3219"/>
    <w:rsid w:val="00CE38FE"/>
    <w:rsid w:val="00CE3951"/>
    <w:rsid w:val="00CE6ABB"/>
    <w:rsid w:val="00D01716"/>
    <w:rsid w:val="00D04096"/>
    <w:rsid w:val="00D04B29"/>
    <w:rsid w:val="00D06FFA"/>
    <w:rsid w:val="00D11821"/>
    <w:rsid w:val="00D14E99"/>
    <w:rsid w:val="00D156DD"/>
    <w:rsid w:val="00D17304"/>
    <w:rsid w:val="00D217ED"/>
    <w:rsid w:val="00D231F9"/>
    <w:rsid w:val="00D24850"/>
    <w:rsid w:val="00D24FE7"/>
    <w:rsid w:val="00D311E3"/>
    <w:rsid w:val="00D424AE"/>
    <w:rsid w:val="00D43794"/>
    <w:rsid w:val="00D552D3"/>
    <w:rsid w:val="00D55AB4"/>
    <w:rsid w:val="00D6091A"/>
    <w:rsid w:val="00D6142B"/>
    <w:rsid w:val="00D62059"/>
    <w:rsid w:val="00D6514B"/>
    <w:rsid w:val="00D67C4B"/>
    <w:rsid w:val="00D7261F"/>
    <w:rsid w:val="00D74F1A"/>
    <w:rsid w:val="00D76C82"/>
    <w:rsid w:val="00D818C3"/>
    <w:rsid w:val="00D92E80"/>
    <w:rsid w:val="00D94922"/>
    <w:rsid w:val="00D96C83"/>
    <w:rsid w:val="00DA1589"/>
    <w:rsid w:val="00DA2BA9"/>
    <w:rsid w:val="00DA6993"/>
    <w:rsid w:val="00DB2971"/>
    <w:rsid w:val="00DB47D9"/>
    <w:rsid w:val="00DC7F88"/>
    <w:rsid w:val="00DD0EE4"/>
    <w:rsid w:val="00DE7B06"/>
    <w:rsid w:val="00DF2D2A"/>
    <w:rsid w:val="00DF7AE8"/>
    <w:rsid w:val="00E029E5"/>
    <w:rsid w:val="00E0470A"/>
    <w:rsid w:val="00E13424"/>
    <w:rsid w:val="00E209D9"/>
    <w:rsid w:val="00E22D5C"/>
    <w:rsid w:val="00E23829"/>
    <w:rsid w:val="00E26703"/>
    <w:rsid w:val="00E31CA4"/>
    <w:rsid w:val="00E33E2E"/>
    <w:rsid w:val="00E377D7"/>
    <w:rsid w:val="00E4028D"/>
    <w:rsid w:val="00E5307D"/>
    <w:rsid w:val="00E56A27"/>
    <w:rsid w:val="00E56C53"/>
    <w:rsid w:val="00E57B34"/>
    <w:rsid w:val="00E61056"/>
    <w:rsid w:val="00E62536"/>
    <w:rsid w:val="00E73057"/>
    <w:rsid w:val="00E75E79"/>
    <w:rsid w:val="00E83249"/>
    <w:rsid w:val="00E83991"/>
    <w:rsid w:val="00E839EE"/>
    <w:rsid w:val="00E85DC7"/>
    <w:rsid w:val="00E87196"/>
    <w:rsid w:val="00E91123"/>
    <w:rsid w:val="00EA284B"/>
    <w:rsid w:val="00EB19E9"/>
    <w:rsid w:val="00EB1E1E"/>
    <w:rsid w:val="00EB62DD"/>
    <w:rsid w:val="00EB75E6"/>
    <w:rsid w:val="00EC35DA"/>
    <w:rsid w:val="00EC4CE7"/>
    <w:rsid w:val="00EC74E0"/>
    <w:rsid w:val="00ED12F8"/>
    <w:rsid w:val="00ED1B79"/>
    <w:rsid w:val="00ED2C98"/>
    <w:rsid w:val="00ED3B38"/>
    <w:rsid w:val="00ED3D35"/>
    <w:rsid w:val="00EE02E7"/>
    <w:rsid w:val="00EE1319"/>
    <w:rsid w:val="00EE28DD"/>
    <w:rsid w:val="00EF5CD9"/>
    <w:rsid w:val="00EF6F21"/>
    <w:rsid w:val="00F06029"/>
    <w:rsid w:val="00F062A9"/>
    <w:rsid w:val="00F1010B"/>
    <w:rsid w:val="00F119B7"/>
    <w:rsid w:val="00F17549"/>
    <w:rsid w:val="00F25320"/>
    <w:rsid w:val="00F25D2A"/>
    <w:rsid w:val="00F277B8"/>
    <w:rsid w:val="00F32496"/>
    <w:rsid w:val="00F36BCB"/>
    <w:rsid w:val="00F40C8A"/>
    <w:rsid w:val="00F42638"/>
    <w:rsid w:val="00F42E6D"/>
    <w:rsid w:val="00F43402"/>
    <w:rsid w:val="00F43997"/>
    <w:rsid w:val="00F44E0F"/>
    <w:rsid w:val="00F4508D"/>
    <w:rsid w:val="00F5148E"/>
    <w:rsid w:val="00F52631"/>
    <w:rsid w:val="00F55C92"/>
    <w:rsid w:val="00F57A85"/>
    <w:rsid w:val="00F62B09"/>
    <w:rsid w:val="00F64031"/>
    <w:rsid w:val="00F65588"/>
    <w:rsid w:val="00F65A34"/>
    <w:rsid w:val="00F73768"/>
    <w:rsid w:val="00F74DC9"/>
    <w:rsid w:val="00F77781"/>
    <w:rsid w:val="00F83F3C"/>
    <w:rsid w:val="00F841A6"/>
    <w:rsid w:val="00FA188D"/>
    <w:rsid w:val="00FA3900"/>
    <w:rsid w:val="00FA407B"/>
    <w:rsid w:val="00FA7C77"/>
    <w:rsid w:val="00FB7C07"/>
    <w:rsid w:val="00FC0125"/>
    <w:rsid w:val="00FD5BF7"/>
    <w:rsid w:val="00FE5455"/>
    <w:rsid w:val="00FE62D3"/>
    <w:rsid w:val="00FE6A8E"/>
    <w:rsid w:val="00FF194E"/>
    <w:rsid w:val="00FF74A7"/>
    <w:rsid w:val="46387690"/>
    <w:rsid w:val="4D862C64"/>
    <w:rsid w:val="6F61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spacing w:beforeLines="50" w:afterLines="50"/>
      <w:ind w:firstLine="0" w:firstLineChars="0"/>
      <w:outlineLvl w:val="0"/>
    </w:pPr>
    <w:rPr>
      <w:b/>
      <w:bCs/>
      <w:kern w:val="44"/>
      <w:sz w:val="32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标题 1 字符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3">
    <w:name w:val="批注框文本 字符"/>
    <w:link w:val="3"/>
    <w:semiHidden/>
    <w:qFormat/>
    <w:uiPriority w:val="99"/>
    <w:rPr>
      <w:sz w:val="18"/>
      <w:szCs w:val="18"/>
    </w:rPr>
  </w:style>
  <w:style w:type="paragraph" w:customStyle="1" w:styleId="14">
    <w:name w:val="修订1"/>
    <w:semiHidden/>
    <w:qFormat/>
    <w:uiPriority w:val="99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  <w:style w:type="paragraph" w:styleId="1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26</Pages>
  <Words>1245</Words>
  <Characters>7101</Characters>
  <Lines>59</Lines>
  <Paragraphs>16</Paragraphs>
  <TotalTime>24</TotalTime>
  <ScaleCrop>false</ScaleCrop>
  <LinksUpToDate>false</LinksUpToDate>
  <CharactersWithSpaces>8330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2021-03-01T10:28:00Z</dcterms:created>
  <dc:creator>Yang Qian</dc:creator>
  <cp:lastModifiedBy>王宁</cp:lastModifiedBy>
  <cp:lastPrinted>2021-03-05T08:08:16Z</cp:lastPrinted>
  <dcterms:modified xsi:type="dcterms:W3CDTF">2021-03-05T08:09:10Z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