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72" w:rsidRDefault="003A4F3A">
      <w:pPr>
        <w:spacing w:line="360" w:lineRule="auto"/>
        <w:jc w:val="center"/>
        <w:rPr>
          <w:rFonts w:ascii="黑体" w:eastAsia="黑体" w:hAnsi="黑体"/>
          <w:b/>
          <w:sz w:val="32"/>
          <w:szCs w:val="44"/>
        </w:rPr>
      </w:pPr>
      <w:r>
        <w:rPr>
          <w:rFonts w:ascii="黑体" w:eastAsia="黑体" w:hAnsi="黑体" w:hint="eastAsia"/>
          <w:b/>
          <w:sz w:val="32"/>
          <w:szCs w:val="44"/>
        </w:rPr>
        <w:t>《</w:t>
      </w:r>
      <w:r>
        <w:rPr>
          <w:rFonts w:ascii="黑体" w:eastAsia="黑体" w:hAnsi="黑体" w:hint="eastAsia"/>
          <w:b/>
          <w:sz w:val="32"/>
          <w:szCs w:val="44"/>
        </w:rPr>
        <w:t>202</w:t>
      </w:r>
      <w:r>
        <w:rPr>
          <w:rFonts w:ascii="黑体" w:eastAsia="黑体" w:hAnsi="黑体" w:hint="eastAsia"/>
          <w:b/>
          <w:sz w:val="32"/>
          <w:szCs w:val="44"/>
        </w:rPr>
        <w:t>2</w:t>
      </w:r>
      <w:r>
        <w:rPr>
          <w:rFonts w:ascii="黑体" w:eastAsia="黑体" w:hAnsi="黑体" w:hint="eastAsia"/>
          <w:b/>
          <w:sz w:val="32"/>
          <w:szCs w:val="44"/>
        </w:rPr>
        <w:t>年度天津市银行业社会责任报告》</w:t>
      </w:r>
    </w:p>
    <w:p w:rsidR="00554672" w:rsidRDefault="003A4F3A">
      <w:pPr>
        <w:spacing w:line="360" w:lineRule="auto"/>
        <w:jc w:val="center"/>
        <w:rPr>
          <w:rFonts w:ascii="黑体" w:eastAsia="黑体" w:hAnsi="黑体"/>
          <w:b/>
          <w:sz w:val="32"/>
          <w:szCs w:val="44"/>
        </w:rPr>
      </w:pPr>
      <w:r>
        <w:rPr>
          <w:rFonts w:ascii="黑体" w:eastAsia="黑体" w:hAnsi="黑体" w:hint="eastAsia"/>
          <w:b/>
          <w:sz w:val="32"/>
          <w:szCs w:val="44"/>
        </w:rPr>
        <w:t>案例报送参考模板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案例填报说明：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．案例文字材料请按提示粘贴在此</w:t>
            </w:r>
            <w:r>
              <w:rPr>
                <w:rFonts w:ascii="宋体" w:hAnsi="宋体" w:cs="宋体" w:hint="eastAsia"/>
                <w:sz w:val="24"/>
              </w:rPr>
              <w:t>word</w:t>
            </w:r>
            <w:r>
              <w:rPr>
                <w:rFonts w:ascii="宋体" w:hAnsi="宋体" w:cs="宋体" w:hint="eastAsia"/>
                <w:sz w:val="24"/>
              </w:rPr>
              <w:t>文件中的方框内；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．请勿修改文件格式及文字；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．请各会员单位自行编写、挑选贵单位认为较为有特色、突出的案例，案例选取角度请参照</w:t>
            </w:r>
            <w:r>
              <w:rPr>
                <w:rFonts w:ascii="宋体" w:hAnsi="宋体" w:cs="宋体" w:hint="eastAsia"/>
                <w:b/>
                <w:sz w:val="24"/>
              </w:rPr>
              <w:t>附件</w:t>
            </w:r>
            <w:r w:rsidR="00211AE9">
              <w:rPr>
                <w:rFonts w:ascii="宋体" w:hAnsi="宋体" w:cs="宋体" w:hint="eastAsia"/>
                <w:b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指标体系“表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定性指标表”及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附件</w:t>
            </w:r>
            <w:r w:rsidR="00211AE9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hAnsi="宋体" w:cs="宋体" w:hint="eastAsia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年度天津市银行业协会社会责任报告》框架结构中的小标题内容；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．每个案例</w:t>
            </w:r>
            <w:r>
              <w:rPr>
                <w:rFonts w:ascii="宋体" w:hAnsi="宋体" w:cs="宋体" w:hint="eastAsia"/>
                <w:b/>
                <w:color w:val="FF0000"/>
                <w:sz w:val="24"/>
              </w:rPr>
              <w:t>300</w:t>
            </w:r>
            <w:r>
              <w:rPr>
                <w:rFonts w:ascii="宋体" w:hAnsi="宋体" w:cs="宋体" w:hint="eastAsia"/>
                <w:b/>
                <w:color w:val="FF0000"/>
                <w:sz w:val="24"/>
              </w:rPr>
              <w:t>字左右</w:t>
            </w:r>
            <w:r>
              <w:rPr>
                <w:rFonts w:ascii="宋体" w:hAnsi="宋体" w:cs="宋体" w:hint="eastAsia"/>
                <w:sz w:val="24"/>
              </w:rPr>
              <w:t>，个别内容丰富案例可适当增加到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400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字左右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内容包括但不限于政策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理念概括、事件描述、数据及成果展示等，</w:t>
            </w:r>
            <w:r>
              <w:rPr>
                <w:rFonts w:ascii="宋体" w:hAnsi="宋体" w:cs="宋体" w:hint="eastAsia"/>
                <w:b/>
                <w:color w:val="FF0000"/>
                <w:sz w:val="24"/>
              </w:rPr>
              <w:t>内容不完整或未经编写过的案例将不予以采用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案例编写要求：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．统一用词：</w:t>
            </w:r>
          </w:p>
          <w:p w:rsidR="00554672" w:rsidRDefault="003A4F3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银行名称：法人机构应使用各机构全称，如天津银行、天津农商银行等；分支机构则使用</w:t>
            </w:r>
            <w:r>
              <w:rPr>
                <w:rFonts w:ascii="宋体" w:hAnsi="宋体" w:cs="宋体" w:hint="eastAsia"/>
                <w:b/>
                <w:sz w:val="24"/>
              </w:rPr>
              <w:t>“</w:t>
            </w:r>
            <w:r>
              <w:rPr>
                <w:rFonts w:ascii="宋体" w:hAnsi="宋体" w:cs="宋体" w:hint="eastAsia"/>
                <w:b/>
                <w:sz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</w:rPr>
              <w:t>银行</w:t>
            </w:r>
            <w:r>
              <w:rPr>
                <w:rFonts w:ascii="宋体" w:hAnsi="宋体" w:cs="宋体" w:hint="eastAsia"/>
                <w:b/>
                <w:sz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</w:rPr>
              <w:t>天津分行”</w:t>
            </w:r>
            <w:r>
              <w:rPr>
                <w:rFonts w:ascii="宋体" w:hAnsi="宋体" w:cs="宋体" w:hint="eastAsia"/>
                <w:sz w:val="24"/>
              </w:rPr>
              <w:t>或</w:t>
            </w:r>
            <w:r>
              <w:rPr>
                <w:rFonts w:ascii="宋体" w:hAnsi="宋体" w:cs="宋体" w:hint="eastAsia"/>
                <w:b/>
                <w:sz w:val="24"/>
              </w:rPr>
              <w:t>“</w:t>
            </w:r>
            <w:r>
              <w:rPr>
                <w:rFonts w:ascii="宋体" w:hAnsi="宋体" w:cs="宋体" w:hint="eastAsia"/>
                <w:b/>
                <w:sz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</w:rPr>
              <w:t>银行天津</w:t>
            </w:r>
            <w:r>
              <w:rPr>
                <w:rFonts w:ascii="宋体" w:hAnsi="宋体" w:cs="宋体" w:hint="eastAsia"/>
                <w:b/>
                <w:sz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</w:rPr>
              <w:t>支行”</w:t>
            </w:r>
            <w:r>
              <w:rPr>
                <w:rFonts w:ascii="宋体" w:hAnsi="宋体" w:cs="宋体" w:hint="eastAsia"/>
                <w:sz w:val="24"/>
              </w:rPr>
              <w:t>，如建设银行天津市分行、农业银行天津和平支行。</w:t>
            </w:r>
          </w:p>
          <w:p w:rsidR="00554672" w:rsidRDefault="003A4F3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银行简称：使用</w:t>
            </w:r>
            <w:r>
              <w:rPr>
                <w:rFonts w:ascii="宋体" w:hAnsi="宋体" w:cs="宋体" w:hint="eastAsia"/>
                <w:b/>
                <w:sz w:val="24"/>
              </w:rPr>
              <w:t>“该行”</w:t>
            </w:r>
          </w:p>
          <w:p w:rsidR="00554672" w:rsidRDefault="003A4F3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项目或企业简称：使用</w:t>
            </w:r>
            <w:r>
              <w:rPr>
                <w:rFonts w:ascii="宋体" w:hAnsi="宋体" w:cs="宋体" w:hint="eastAsia"/>
                <w:b/>
                <w:sz w:val="24"/>
              </w:rPr>
              <w:t>“该项目”“该企业”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．数据：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截至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12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31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4"/>
              </w:rPr>
              <w:t>日数据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b/>
                <w:sz w:val="24"/>
              </w:rPr>
              <w:t>数据千分位不加逗号</w:t>
            </w:r>
            <w:r>
              <w:rPr>
                <w:rFonts w:ascii="宋体" w:hAnsi="宋体" w:cs="宋体" w:hint="eastAsia"/>
                <w:sz w:val="24"/>
              </w:rPr>
              <w:t>。若非整数，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请统一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保留</w:t>
            </w:r>
            <w:r>
              <w:rPr>
                <w:rFonts w:ascii="宋体" w:hAnsi="宋体" w:cs="宋体" w:hint="eastAsia"/>
                <w:b/>
                <w:sz w:val="24"/>
              </w:rPr>
              <w:t>小数点后两位数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．配图：</w:t>
            </w:r>
            <w:r>
              <w:rPr>
                <w:rFonts w:ascii="宋体" w:hAnsi="宋体" w:cs="宋体" w:hint="eastAsia"/>
                <w:b/>
                <w:sz w:val="24"/>
              </w:rPr>
              <w:t>单独提供文件，配图注</w:t>
            </w:r>
            <w:r>
              <w:rPr>
                <w:rFonts w:ascii="宋体" w:hAnsi="宋体" w:cs="宋体" w:hint="eastAsia"/>
                <w:sz w:val="24"/>
              </w:rPr>
              <w:t>。要求美观、与案例相关、对焦清晰、具代表性、构图主次分明、文件</w:t>
            </w:r>
            <w:r>
              <w:rPr>
                <w:rFonts w:ascii="宋体" w:hAnsi="宋体" w:cs="宋体" w:hint="eastAsia"/>
                <w:sz w:val="24"/>
              </w:rPr>
              <w:t>大小</w:t>
            </w:r>
            <w:r>
              <w:rPr>
                <w:rFonts w:ascii="宋体" w:hAnsi="宋体" w:cs="宋体" w:hint="eastAsia"/>
                <w:sz w:val="24"/>
              </w:rPr>
              <w:t>1MB</w:t>
            </w:r>
            <w:r>
              <w:rPr>
                <w:rFonts w:ascii="宋体" w:hAnsi="宋体" w:cs="宋体" w:hint="eastAsia"/>
                <w:sz w:val="24"/>
              </w:rPr>
              <w:t>以上；</w:t>
            </w:r>
          </w:p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．案例内容要素应涵盖全面，以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外部视角</w:t>
            </w:r>
            <w:r>
              <w:rPr>
                <w:rFonts w:ascii="宋体" w:hAnsi="宋体" w:cs="宋体" w:hint="eastAsia"/>
                <w:sz w:val="24"/>
              </w:rPr>
              <w:t>编写，案例中不应出现的自我夸奖的语句，应通过数据、外部评价等实质性内容展示优秀做法产生的积极影响。</w:t>
            </w:r>
          </w:p>
        </w:tc>
      </w:tr>
    </w:tbl>
    <w:p w:rsidR="00554672" w:rsidRDefault="003A4F3A">
      <w:pPr>
        <w:spacing w:line="360" w:lineRule="auto"/>
        <w:outlineLvl w:val="0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br w:type="page"/>
      </w:r>
    </w:p>
    <w:p w:rsidR="00554672" w:rsidRDefault="003A4F3A">
      <w:pPr>
        <w:spacing w:line="360" w:lineRule="auto"/>
        <w:jc w:val="center"/>
        <w:outlineLvl w:val="0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**</w:t>
      </w:r>
      <w:r>
        <w:rPr>
          <w:rFonts w:ascii="宋体" w:hAnsi="宋体" w:cs="宋体" w:hint="eastAsia"/>
          <w:b/>
          <w:sz w:val="32"/>
        </w:rPr>
        <w:t>以下为案例编写示例，仅供参考</w:t>
      </w:r>
      <w:r>
        <w:rPr>
          <w:rFonts w:ascii="宋体" w:hAnsi="宋体" w:cs="宋体" w:hint="eastAsia"/>
          <w:b/>
          <w:sz w:val="32"/>
        </w:rPr>
        <w:t>**</w:t>
      </w:r>
    </w:p>
    <w:p w:rsidR="00554672" w:rsidRDefault="003A4F3A" w:rsidP="00211AE9">
      <w:pPr>
        <w:spacing w:beforeLines="100" w:before="312" w:afterLines="50" w:after="156" w:line="360" w:lineRule="auto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案例编写示例：</w:t>
      </w:r>
      <w:r>
        <w:rPr>
          <w:rFonts w:ascii="宋体" w:hAnsi="宋体" w:cs="宋体" w:hint="eastAsia"/>
          <w:b/>
          <w:sz w:val="28"/>
          <w:szCs w:val="28"/>
        </w:rPr>
        <w:t>推动高水平对外开放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银行天津市分行：助力天津港打造世界一流港口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sz w:val="24"/>
                <w:szCs w:val="24"/>
              </w:rPr>
              <w:t>天津市分行紧跟党中央重要决策部署，深度融入京津冀协同和“一带一路”发展战略，持续加大金融对区域实体经济的支持力度，为天津港北疆港区</w:t>
            </w:r>
            <w:r>
              <w:rPr>
                <w:rFonts w:ascii="宋体" w:hAnsi="宋体" w:cs="宋体" w:hint="eastAsia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sz w:val="24"/>
                <w:szCs w:val="24"/>
              </w:rPr>
              <w:t>段智能化集装箱码头项目发放贷款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亿元，成为该项目设立以来首家提供授信和绿色融资的商业性银行，以金融活水助力天津港打造世界一流港口。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天津港智能化集装箱码头是天津市</w:t>
            </w:r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sz w:val="24"/>
                <w:szCs w:val="24"/>
              </w:rPr>
              <w:t>年重点规划项目，该项目通过集成自主研发的智能系统，依托</w:t>
            </w:r>
            <w:r>
              <w:rPr>
                <w:rFonts w:ascii="宋体" w:hAnsi="宋体" w:cs="宋体" w:hint="eastAsia"/>
                <w:sz w:val="24"/>
                <w:szCs w:val="24"/>
              </w:rPr>
              <w:t>5G</w:t>
            </w:r>
            <w:r>
              <w:rPr>
                <w:rFonts w:ascii="宋体" w:hAnsi="宋体" w:cs="宋体" w:hint="eastAsia"/>
                <w:sz w:val="24"/>
                <w:szCs w:val="24"/>
              </w:rPr>
              <w:t>、大数据、人工智能等现代信息技术赋能，设计拥有双悬臂轨道吊边装卸、无人驾驶集装箱卡车运输等多项全球首创技术和工艺。项目建成后，将成为我国智能化程度最</w:t>
            </w:r>
            <w:r>
              <w:rPr>
                <w:rFonts w:ascii="宋体" w:hAnsi="宋体" w:cs="宋体" w:hint="eastAsia"/>
                <w:sz w:val="24"/>
                <w:szCs w:val="24"/>
              </w:rPr>
              <w:t>高、建设成本最低、运营效率最优的集装箱码头。</w:t>
            </w:r>
          </w:p>
        </w:tc>
      </w:tr>
    </w:tbl>
    <w:p w:rsidR="00554672" w:rsidRDefault="003A4F3A" w:rsidP="00211AE9">
      <w:pPr>
        <w:spacing w:beforeLines="100" w:before="312" w:afterLines="50" w:after="156" w:line="360" w:lineRule="auto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案例编写示例：</w:t>
      </w:r>
      <w:r>
        <w:rPr>
          <w:rFonts w:ascii="宋体" w:hAnsi="宋体" w:cs="宋体" w:hint="eastAsia"/>
          <w:b/>
          <w:sz w:val="28"/>
          <w:szCs w:val="28"/>
        </w:rPr>
        <w:t>促进区域协调发展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银行天津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市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分行：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助力基础设施领域“补短板”，支持京津冀协同发展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为积极贯彻支持京津冀协同发展、基础设施领域“补短板”的国家战略，</w:t>
            </w:r>
            <w:r>
              <w:rPr>
                <w:rFonts w:ascii="宋体" w:hAnsi="宋体" w:cs="宋体" w:hint="eastAsia"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sz w:val="24"/>
                <w:szCs w:val="24"/>
              </w:rPr>
              <w:t>银行天津市分行高度重视对城市轨道交通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业客户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的授信支持。</w:t>
            </w:r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sz w:val="24"/>
                <w:szCs w:val="24"/>
              </w:rPr>
              <w:t>年，该行作为银团牵头行（联合牵头）成功为天津地铁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号线存量</w:t>
            </w:r>
            <w:r>
              <w:rPr>
                <w:rFonts w:ascii="宋体" w:hAnsi="宋体" w:cs="宋体" w:hint="eastAsia"/>
                <w:sz w:val="24"/>
                <w:szCs w:val="24"/>
              </w:rPr>
              <w:t>PPP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亿元银团贷款支持，该项目是全国范围内首例完整意义的轨道交通领域地铁存量资产</w:t>
            </w:r>
            <w:r>
              <w:rPr>
                <w:rFonts w:ascii="宋体" w:hAnsi="宋体" w:cs="宋体" w:hint="eastAsia"/>
                <w:sz w:val="24"/>
                <w:szCs w:val="24"/>
              </w:rPr>
              <w:t>PPP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项目，社会资本方为中国交建，通过</w:t>
            </w:r>
            <w:r>
              <w:rPr>
                <w:rFonts w:ascii="宋体" w:hAnsi="宋体" w:cs="宋体" w:hint="eastAsia"/>
                <w:sz w:val="24"/>
                <w:szCs w:val="24"/>
              </w:rPr>
              <w:t>TOT</w:t>
            </w:r>
            <w:r>
              <w:rPr>
                <w:rFonts w:ascii="宋体" w:hAnsi="宋体" w:cs="宋体" w:hint="eastAsia"/>
                <w:sz w:val="24"/>
                <w:szCs w:val="24"/>
              </w:rPr>
              <w:t>模式将中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国交建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的运营管理经验和天津市轨道交通发展优势有机结合，突破了国内地铁传统经营模式，也为天津地铁运营市场引入竞争机制，有效盘活利用地铁存量资产。</w:t>
            </w:r>
          </w:p>
        </w:tc>
      </w:tr>
    </w:tbl>
    <w:p w:rsidR="00554672" w:rsidRDefault="003A4F3A" w:rsidP="00211AE9">
      <w:pPr>
        <w:spacing w:beforeLines="100" w:before="312" w:afterLines="50" w:after="156" w:line="360" w:lineRule="auto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案例编写示例：</w:t>
      </w:r>
      <w:r>
        <w:rPr>
          <w:rFonts w:ascii="宋体" w:hAnsi="宋体" w:cs="宋体" w:hint="eastAsia"/>
          <w:b/>
          <w:sz w:val="28"/>
          <w:szCs w:val="28"/>
        </w:rPr>
        <w:t>全面支持乡村振兴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案例标题：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银行：蘑菇贷—贷出一串串致富链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sz w:val="24"/>
                <w:szCs w:val="24"/>
              </w:rPr>
              <w:t>银行结合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州区涉农产业特点、生态环境、资源禀赋等实际情况，全力支持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州区建设特色产业示范区和乡村旅游产业区。通过多维度推进“帮扶资金</w:t>
            </w:r>
            <w:r>
              <w:rPr>
                <w:rFonts w:ascii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信贷资金”模式、“龙头企业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农户”融资模式与“公司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村集体</w:t>
            </w:r>
            <w:r>
              <w:rPr>
                <w:rFonts w:ascii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农户”经营模式，帮助当地逐步形成了蘑菇种植产业的“农业产业链”，让广大农户、低收入人群主动加入到产业致富行列中来。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sz w:val="24"/>
                <w:szCs w:val="24"/>
              </w:rPr>
              <w:t>年，该行已向天津市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州区</w:t>
            </w:r>
            <w:r>
              <w:rPr>
                <w:rFonts w:ascii="宋体" w:hAnsi="宋体" w:cs="宋体" w:hint="eastAsia"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sz w:val="24"/>
                <w:szCs w:val="24"/>
              </w:rPr>
              <w:t>有限公司发放贷款</w:t>
            </w:r>
            <w:r>
              <w:rPr>
                <w:rFonts w:ascii="宋体" w:hAnsi="宋体" w:cs="宋体" w:hint="eastAsia"/>
                <w:sz w:val="24"/>
                <w:szCs w:val="24"/>
              </w:rPr>
              <w:t>1,435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万元，用于菌棒生产；给予创业农户授信</w:t>
            </w:r>
            <w:r>
              <w:rPr>
                <w:rFonts w:ascii="宋体" w:hAnsi="宋体" w:cs="宋体" w:hint="eastAsia"/>
                <w:sz w:val="24"/>
                <w:szCs w:val="24"/>
              </w:rPr>
              <w:t>500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万元，用于采购菌棒。截至</w:t>
            </w:r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sz w:val="24"/>
                <w:szCs w:val="24"/>
              </w:rPr>
              <w:t>年末，累计发放贷款</w:t>
            </w:r>
            <w:r>
              <w:rPr>
                <w:rFonts w:ascii="宋体" w:hAnsi="宋体" w:cs="宋体" w:hint="eastAsia"/>
                <w:sz w:val="24"/>
                <w:szCs w:val="24"/>
              </w:rPr>
              <w:t>415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万元，惠及</w:t>
            </w: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sz w:val="24"/>
                <w:szCs w:val="24"/>
              </w:rPr>
              <w:t>家农户和新型农业经营主体。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i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“我这个蘑菇棚能发展起来，多亏了咱们</w:t>
            </w:r>
            <w:r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银行给贷了款，我才致了富。这小日子过舒坦了，咱们农民生活也越过越好了。”</w:t>
            </w:r>
          </w:p>
          <w:p w:rsidR="00554672" w:rsidRDefault="003A4F3A"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——蘑菇种植户郭大叔</w:t>
            </w:r>
          </w:p>
        </w:tc>
      </w:tr>
    </w:tbl>
    <w:p w:rsidR="00554672" w:rsidRDefault="003A4F3A" w:rsidP="00211AE9">
      <w:pPr>
        <w:spacing w:beforeLines="100" w:before="312" w:afterLines="50" w:after="156" w:line="360" w:lineRule="auto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案例编写示例：</w:t>
      </w:r>
      <w:r>
        <w:rPr>
          <w:rFonts w:ascii="宋体" w:hAnsi="宋体" w:cs="宋体" w:hint="eastAsia"/>
          <w:b/>
          <w:sz w:val="28"/>
          <w:szCs w:val="28"/>
        </w:rPr>
        <w:t>着力发展普惠金融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银行：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巧用“加减乘除”法助力小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微企业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4"/>
              </w:rPr>
              <w:t>稳健发展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银行立足服务本地经济稳定发展本源，巧用“加减乘除”法，破解小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微企业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融资难融资贵的难题，为企业复工复产和经济社会稳定发展贡献力量。</w:t>
            </w:r>
          </w:p>
          <w:p w:rsidR="00554672" w:rsidRDefault="003A4F3A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“加”大投放保需求：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加大信贷资源向普惠领域倾斜，加强“网格化”服务，走访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335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家天津市重点产业链名单企业，与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家企业达成业务合作意向，与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余个社区、村委会、商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圈深化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合作关系。</w:t>
            </w:r>
          </w:p>
          <w:p w:rsidR="00554672" w:rsidRDefault="003A4F3A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“减”费让利降成本：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按照“应降尽降、应免尽免”的原则，对小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微企业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和个体工商户免收开户服务费和账户管理费，人民币转账汇款手续费实行九折优惠，延长部分收费项目优惠期，累计惠及小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微企业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和个体工商户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4,000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余户。</w:t>
            </w:r>
          </w:p>
          <w:p w:rsidR="00554672" w:rsidRDefault="003A4F3A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科技加“乘”优服务：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发挥科技与网络优势，推出线上信用融资产品“税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贷”，综合运用征信、税收等数据，对小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微企业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进行全息画像，在线实时核定授信额度，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“速度快、利率低、纯信用”，缓解了小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微企业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抵押物不足的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融资痛点。</w:t>
            </w:r>
          </w:p>
          <w:p w:rsidR="00554672" w:rsidRDefault="003A4F3A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去繁“除”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冗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4"/>
              </w:rPr>
              <w:t>减环节：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利用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微银行线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上预约开户，全面提高开户、审批效率；成功接入“企业开办一窗通”平台，提高企业开户便捷性；依托跨境金融区块链服务平台，借助线上场景核验，简化外贸企业人工审核流程。</w:t>
            </w:r>
          </w:p>
        </w:tc>
      </w:tr>
    </w:tbl>
    <w:p w:rsidR="00554672" w:rsidRDefault="003A4F3A" w:rsidP="00211AE9">
      <w:pPr>
        <w:spacing w:beforeLines="100" w:before="312" w:afterLines="50" w:after="156" w:line="360" w:lineRule="auto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案例编写示例：聚力实施民心工程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银行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天津市分行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：探索历史风貌建筑保护类城市更新改造路径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3A4F3A">
            <w:pPr>
              <w:spacing w:line="360" w:lineRule="auto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**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银行天津市分行积极探索城市更新多元化融资模式，以历史文化街区城市更新改造项目作为分行先期试点项目，共计承诺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5.16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亿元，截至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年末，实现发放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3.76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亿元。该项目是《天津市老旧房屋老旧小区改造提升和城市更新实施方案》出台后天津市域内首笔落地的城更项目。该项目涉及意风区内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栋建筑，在不改变建筑外观风格、本着修旧如故的原则进行修复和改善，使其能够更好地展现天津城市历史变迁的过程，以实物形式传承和展示天津市城市文化。通过新业态的引入，盘活楼宇资源，带动投资与消费，结合区域定位和优势重新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规划业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态，改变其低效运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营的现状，为天津城市经济发展增新动能。</w:t>
            </w:r>
          </w:p>
        </w:tc>
      </w:tr>
    </w:tbl>
    <w:p w:rsidR="00554672" w:rsidRDefault="00554672">
      <w:pPr>
        <w:rPr>
          <w:rFonts w:ascii="宋体" w:hAnsi="宋体" w:cs="宋体"/>
          <w:sz w:val="24"/>
          <w:szCs w:val="24"/>
        </w:rPr>
        <w:sectPr w:rsidR="00554672">
          <w:footerReference w:type="default" r:id="rId8"/>
          <w:pgSz w:w="11906" w:h="16838"/>
          <w:pgMar w:top="1440" w:right="1800" w:bottom="1440" w:left="1800" w:header="851" w:footer="992" w:gutter="0"/>
          <w:pgNumType w:fmt="upperRoman"/>
          <w:cols w:space="720"/>
          <w:docGrid w:type="lines" w:linePitch="312"/>
        </w:sectPr>
      </w:pPr>
    </w:p>
    <w:p w:rsidR="00554672" w:rsidRDefault="003A4F3A">
      <w:pPr>
        <w:spacing w:line="360" w:lineRule="auto"/>
        <w:jc w:val="center"/>
        <w:outlineLvl w:val="0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**</w:t>
      </w:r>
      <w:r>
        <w:rPr>
          <w:rFonts w:ascii="宋体" w:hAnsi="宋体" w:cs="宋体" w:hint="eastAsia"/>
          <w:b/>
          <w:sz w:val="32"/>
        </w:rPr>
        <w:t>以下为案例填报表格，请勿修改格式</w:t>
      </w:r>
      <w:r>
        <w:rPr>
          <w:rFonts w:ascii="宋体" w:hAnsi="宋体" w:cs="宋体" w:hint="eastAsia"/>
          <w:b/>
          <w:sz w:val="32"/>
        </w:rPr>
        <w:t>**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554672">
        <w:tc>
          <w:tcPr>
            <w:tcW w:w="1668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填报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单位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6854" w:type="dxa"/>
          </w:tcPr>
          <w:p w:rsidR="00554672" w:rsidRDefault="0055467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554672">
        <w:tc>
          <w:tcPr>
            <w:tcW w:w="1668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填报人：</w:t>
            </w:r>
          </w:p>
        </w:tc>
        <w:tc>
          <w:tcPr>
            <w:tcW w:w="6854" w:type="dxa"/>
          </w:tcPr>
          <w:p w:rsidR="00554672" w:rsidRDefault="0055467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554672">
        <w:tc>
          <w:tcPr>
            <w:tcW w:w="1668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审核人：</w:t>
            </w:r>
          </w:p>
        </w:tc>
        <w:tc>
          <w:tcPr>
            <w:tcW w:w="6854" w:type="dxa"/>
          </w:tcPr>
          <w:p w:rsidR="00554672" w:rsidRDefault="0055467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554672" w:rsidRDefault="003A4F3A" w:rsidP="00211AE9">
      <w:pPr>
        <w:spacing w:beforeLines="50" w:before="156" w:afterLines="50" w:after="156" w:line="360" w:lineRule="auto"/>
        <w:outlineLvl w:val="1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案例</w:t>
      </w:r>
      <w:r>
        <w:rPr>
          <w:rFonts w:ascii="宋体" w:hAnsi="宋体" w:cs="宋体" w:hint="eastAsia"/>
          <w:b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554672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54672" w:rsidRDefault="003A4F3A" w:rsidP="00211AE9">
      <w:pPr>
        <w:spacing w:beforeLines="50" w:before="156" w:afterLines="50" w:after="156" w:line="360" w:lineRule="auto"/>
        <w:outlineLvl w:val="1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案例</w:t>
      </w:r>
      <w:r>
        <w:rPr>
          <w:rFonts w:ascii="宋体" w:hAnsi="宋体" w:cs="宋体" w:hint="eastAsia"/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554672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54672" w:rsidRDefault="003A4F3A" w:rsidP="00211AE9">
      <w:pPr>
        <w:spacing w:beforeLines="50" w:before="156" w:afterLines="50" w:after="156" w:line="360" w:lineRule="auto"/>
        <w:outlineLvl w:val="1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案例</w:t>
      </w:r>
      <w:r>
        <w:rPr>
          <w:rFonts w:ascii="宋体" w:hAnsi="宋体" w:cs="宋体" w:hint="eastAsia"/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554672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54672" w:rsidRDefault="003A4F3A" w:rsidP="00211AE9">
      <w:pPr>
        <w:spacing w:beforeLines="50" w:before="156" w:afterLines="50" w:after="156" w:line="360" w:lineRule="auto"/>
        <w:outlineLvl w:val="1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案例</w:t>
      </w:r>
      <w:r>
        <w:rPr>
          <w:rFonts w:ascii="宋体" w:hAnsi="宋体" w:cs="宋体" w:hint="eastAsia"/>
          <w:b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554672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54672" w:rsidRDefault="003A4F3A" w:rsidP="00211AE9">
      <w:pPr>
        <w:spacing w:beforeLines="50" w:before="156" w:afterLines="50" w:after="156" w:line="360" w:lineRule="auto"/>
        <w:outlineLvl w:val="1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案例</w:t>
      </w:r>
      <w:r>
        <w:rPr>
          <w:rFonts w:ascii="宋体" w:hAnsi="宋体" w:cs="宋体" w:hint="eastAsia"/>
          <w:b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案例标题：</w:t>
            </w:r>
          </w:p>
        </w:tc>
      </w:tr>
      <w:tr w:rsidR="00554672">
        <w:tc>
          <w:tcPr>
            <w:tcW w:w="8522" w:type="dxa"/>
          </w:tcPr>
          <w:p w:rsidR="00554672" w:rsidRDefault="003A4F3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案例正文：</w:t>
            </w:r>
          </w:p>
          <w:p w:rsidR="00554672" w:rsidRDefault="00554672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54672" w:rsidRDefault="00554672">
      <w:pPr>
        <w:spacing w:line="360" w:lineRule="auto"/>
        <w:rPr>
          <w:rFonts w:ascii="宋体" w:hAnsi="宋体" w:cs="宋体"/>
        </w:rPr>
      </w:pPr>
    </w:p>
    <w:p w:rsidR="00554672" w:rsidRDefault="00554672">
      <w:pPr>
        <w:rPr>
          <w:rFonts w:ascii="宋体" w:hAnsi="宋体" w:cs="宋体"/>
        </w:rPr>
      </w:pPr>
    </w:p>
    <w:sectPr w:rsidR="00554672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3A" w:rsidRDefault="003A4F3A">
      <w:r>
        <w:separator/>
      </w:r>
    </w:p>
  </w:endnote>
  <w:endnote w:type="continuationSeparator" w:id="0">
    <w:p w:rsidR="003A4F3A" w:rsidRDefault="003A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72" w:rsidRDefault="003A4F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1AE9" w:rsidRPr="00211AE9">
      <w:rPr>
        <w:noProof/>
        <w:lang w:val="zh-CN"/>
      </w:rPr>
      <w:t>I</w:t>
    </w:r>
    <w:r>
      <w:fldChar w:fldCharType="end"/>
    </w:r>
  </w:p>
  <w:p w:rsidR="00554672" w:rsidRDefault="005546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3A" w:rsidRDefault="003A4F3A">
      <w:r>
        <w:separator/>
      </w:r>
    </w:p>
  </w:footnote>
  <w:footnote w:type="continuationSeparator" w:id="0">
    <w:p w:rsidR="003A4F3A" w:rsidRDefault="003A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48E"/>
    <w:multiLevelType w:val="multilevel"/>
    <w:tmpl w:val="0131748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B8BC02E"/>
    <w:multiLevelType w:val="singleLevel"/>
    <w:tmpl w:val="0B8BC02E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2FlY2QwYzVlNmJkODY2YTVjOTdhMTg3MGI2NmUifQ=="/>
  </w:docVars>
  <w:rsids>
    <w:rsidRoot w:val="545E443C"/>
    <w:rsid w:val="00211AE9"/>
    <w:rsid w:val="003A4F3A"/>
    <w:rsid w:val="00554672"/>
    <w:rsid w:val="0E41532F"/>
    <w:rsid w:val="0FF37474"/>
    <w:rsid w:val="18A16DFC"/>
    <w:rsid w:val="223647BE"/>
    <w:rsid w:val="4780267D"/>
    <w:rsid w:val="5178025F"/>
    <w:rsid w:val="545E443C"/>
    <w:rsid w:val="71ED7CDA"/>
    <w:rsid w:val="72A2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wangyanqing</dc:creator>
  <cp:lastModifiedBy>dell</cp:lastModifiedBy>
  <cp:revision>2</cp:revision>
  <dcterms:created xsi:type="dcterms:W3CDTF">2023-03-17T02:25:00Z</dcterms:created>
  <dcterms:modified xsi:type="dcterms:W3CDTF">2023-03-27T02:42:00Z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573AE34ADC024775B5C627A8F3791972</vt:lpwstr>
  </property>
</Properties>
</file>